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23EFF" w14:textId="18902F3E" w:rsidR="0080531E" w:rsidRPr="006B77BB" w:rsidRDefault="00F04C73" w:rsidP="006D533E">
      <w:pPr>
        <w:pStyle w:val="Heading1"/>
        <w:jc w:val="center"/>
      </w:pPr>
      <w:bookmarkStart w:id="0" w:name="_Toc234687958"/>
      <w:bookmarkStart w:id="1" w:name="_Toc234688182"/>
      <w:bookmarkStart w:id="2" w:name="_Toc235108973"/>
      <w:r w:rsidRPr="006D533E">
        <w:rPr>
          <w:noProof/>
          <w:color w:val="FFFFFF" w:themeColor="background1"/>
        </w:rPr>
        <mc:AlternateContent>
          <mc:Choice Requires="wps">
            <w:drawing>
              <wp:anchor distT="45720" distB="45720" distL="114300" distR="114300" simplePos="0" relativeHeight="251658241" behindDoc="0" locked="0" layoutInCell="1" allowOverlap="1" wp14:anchorId="24DDC6AE" wp14:editId="6E7125AE">
                <wp:simplePos x="0" y="0"/>
                <wp:positionH relativeFrom="margin">
                  <wp:posOffset>-361315</wp:posOffset>
                </wp:positionH>
                <wp:positionV relativeFrom="margin">
                  <wp:align>top</wp:align>
                </wp:positionV>
                <wp:extent cx="5699051"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051" cy="1404620"/>
                        </a:xfrm>
                        <a:prstGeom prst="rect">
                          <a:avLst/>
                        </a:prstGeom>
                        <a:solidFill>
                          <a:schemeClr val="tx2"/>
                        </a:solidFill>
                        <a:ln w="9525">
                          <a:noFill/>
                          <a:miter lim="800000"/>
                          <a:headEnd/>
                          <a:tailEnd/>
                        </a:ln>
                      </wps:spPr>
                      <wps:txbx>
                        <w:txbxContent>
                          <w:p w14:paraId="55101EA5" w14:textId="603609C8" w:rsidR="006D533E" w:rsidRDefault="006D533E" w:rsidP="00D94627">
                            <w:pPr>
                              <w:rPr>
                                <w:rFonts w:ascii="Georgia" w:hAnsi="Georgia"/>
                                <w:b/>
                                <w:bCs/>
                                <w:color w:val="FFFFFF" w:themeColor="background1"/>
                                <w:sz w:val="48"/>
                                <w:szCs w:val="48"/>
                              </w:rPr>
                            </w:pPr>
                            <w:r w:rsidRPr="00D94627">
                              <w:rPr>
                                <w:rFonts w:ascii="Georgia" w:hAnsi="Georgia"/>
                                <w:b/>
                                <w:bCs/>
                                <w:color w:val="FFFFFF" w:themeColor="background1"/>
                                <w:sz w:val="48"/>
                                <w:szCs w:val="48"/>
                              </w:rPr>
                              <w:t>Housing Market Update</w:t>
                            </w:r>
                          </w:p>
                          <w:p w14:paraId="5ED9DF59" w14:textId="12B78FDE" w:rsidR="006D533E" w:rsidRPr="00D94627" w:rsidRDefault="006D533E" w:rsidP="00D94627">
                            <w:pPr>
                              <w:rPr>
                                <w:rFonts w:ascii="Georgia" w:hAnsi="Georgia"/>
                                <w:b/>
                                <w:bCs/>
                                <w:color w:val="FFFFFF" w:themeColor="background1"/>
                                <w:sz w:val="36"/>
                                <w:szCs w:val="36"/>
                              </w:rPr>
                            </w:pPr>
                            <w:r w:rsidRPr="00D94627">
                              <w:rPr>
                                <w:rFonts w:cs="Calibri"/>
                                <w:bCs/>
                                <w:color w:val="FFFFFF" w:themeColor="background1"/>
                                <w:sz w:val="36"/>
                                <w:szCs w:val="36"/>
                              </w:rPr>
                              <w:t>June Quarter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DDC6AE" id="_x0000_t202" coordsize="21600,21600" o:spt="202" path="m,l,21600r21600,l21600,xe">
                <v:stroke joinstyle="miter"/>
                <v:path gradientshapeok="t" o:connecttype="rect"/>
              </v:shapetype>
              <v:shape id="Text Box 2" o:spid="_x0000_s1026" type="#_x0000_t202" style="position:absolute;left:0;text-align:left;margin-left:-28.45pt;margin-top:0;width:448.75pt;height:110.6pt;z-index:251658241;visibility:visible;mso-wrap-style:square;mso-width-percent:0;mso-height-percent:200;mso-wrap-distance-left:9pt;mso-wrap-distance-top:3.6pt;mso-wrap-distance-right:9pt;mso-wrap-distance-bottom:3.6pt;mso-position-horizontal:absolute;mso-position-horizontal-relative:margin;mso-position-vertical:top;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" fillcolor="#005b73 [3215]" stroked="f">
                <v:textbox style="mso-fit-shape-to-text:t">
                  <w:txbxContent>
                    <w:p w14:paraId="55101EA5" w14:textId="603609C8" w:rsidR="006D533E" w:rsidRDefault="006D533E" w:rsidP="00D94627">
                      <w:pPr>
                        <w:rPr>
                          <w:rFonts w:ascii="Georgia" w:hAnsi="Georgia"/>
                          <w:b/>
                          <w:bCs/>
                          <w:color w:val="FFFFFF" w:themeColor="background1"/>
                          <w:sz w:val="48"/>
                          <w:szCs w:val="48"/>
                        </w:rPr>
                      </w:pPr>
                      <w:r w:rsidRPr="00D94627">
                        <w:rPr>
                          <w:rFonts w:ascii="Georgia" w:hAnsi="Georgia"/>
                          <w:b/>
                          <w:bCs/>
                          <w:color w:val="FFFFFF" w:themeColor="background1"/>
                          <w:sz w:val="48"/>
                          <w:szCs w:val="48"/>
                        </w:rPr>
                        <w:t>Housing Market Update</w:t>
                      </w:r>
                    </w:p>
                    <w:p w14:paraId="5ED9DF59" w14:textId="12B78FDE" w:rsidR="006D533E" w:rsidRPr="00D94627" w:rsidRDefault="006D533E" w:rsidP="00D94627">
                      <w:pPr>
                        <w:rPr>
                          <w:rFonts w:ascii="Georgia" w:hAnsi="Georgia"/>
                          <w:b/>
                          <w:bCs/>
                          <w:color w:val="FFFFFF" w:themeColor="background1"/>
                          <w:sz w:val="36"/>
                          <w:szCs w:val="36"/>
                        </w:rPr>
                      </w:pPr>
                      <w:r w:rsidRPr="00D94627">
                        <w:rPr>
                          <w:rFonts w:cs="Calibri"/>
                          <w:bCs/>
                          <w:color w:val="FFFFFF" w:themeColor="background1"/>
                          <w:sz w:val="36"/>
                          <w:szCs w:val="36"/>
                        </w:rPr>
                        <w:t>June Quarter 2026</w:t>
                      </w:r>
                    </w:p>
                  </w:txbxContent>
                </v:textbox>
                <w10:wrap anchorx="margin" anchory="margin"/>
              </v:shape>
            </w:pict>
          </mc:Fallback>
        </mc:AlternateContent>
      </w:r>
      <w:r w:rsidR="002E17E1" w:rsidRPr="00BE3D3E">
        <w:rPr>
          <w:rFonts w:ascii="Calibri" w:hAnsi="Calibri"/>
          <w:noProof/>
          <w:color w:val="FFFFFF" w:themeColor="background1"/>
        </w:rPr>
        <w:drawing>
          <wp:anchor distT="0" distB="0" distL="114300" distR="114300" simplePos="0" relativeHeight="251658240" behindDoc="1" locked="0" layoutInCell="1" allowOverlap="1" wp14:anchorId="09FE5F94" wp14:editId="3C8E57B6">
            <wp:simplePos x="0" y="0"/>
            <wp:positionH relativeFrom="page">
              <wp:posOffset>-82378</wp:posOffset>
            </wp:positionH>
            <wp:positionV relativeFrom="page">
              <wp:align>bottom</wp:align>
            </wp:positionV>
            <wp:extent cx="7656830" cy="10911017"/>
            <wp:effectExtent l="0" t="0" r="1270" b="5080"/>
            <wp:wrapNone/>
            <wp:docPr id="18320896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89644" name="Picture 1832089644"/>
                    <pic:cNvPicPr/>
                  </pic:nvPicPr>
                  <pic:blipFill>
                    <a:blip r:embed="rId12"/>
                    <a:stretch>
                      <a:fillRect/>
                    </a:stretch>
                  </pic:blipFill>
                  <pic:spPr>
                    <a:xfrm>
                      <a:off x="0" y="0"/>
                      <a:ext cx="7656830" cy="10911017"/>
                    </a:xfrm>
                    <a:prstGeom prst="rect">
                      <a:avLst/>
                    </a:prstGeom>
                  </pic:spPr>
                </pic:pic>
              </a:graphicData>
            </a:graphic>
            <wp14:sizeRelH relativeFrom="page">
              <wp14:pctWidth>0</wp14:pctWidth>
            </wp14:sizeRelH>
            <wp14:sizeRelV relativeFrom="page">
              <wp14:pctHeight>0</wp14:pctHeight>
            </wp14:sizeRelV>
          </wp:anchor>
        </w:drawing>
      </w:r>
      <w:bookmarkEnd w:id="0"/>
      <w:bookmarkEnd w:id="1"/>
      <w:bookmarkEnd w:id="2"/>
    </w:p>
    <w:p w14:paraId="04077968" w14:textId="02232006" w:rsidR="0003640E" w:rsidRPr="006B77BB" w:rsidRDefault="0003640E" w:rsidP="0003640E">
      <w:pPr>
        <w:pStyle w:val="BodyText"/>
      </w:pPr>
    </w:p>
    <w:p w14:paraId="2DC94A2C" w14:textId="66252242" w:rsidR="0003640E" w:rsidRPr="006B77BB" w:rsidRDefault="0003640E" w:rsidP="0080531E">
      <w:pPr>
        <w:jc w:val="left"/>
        <w:rPr>
          <w:color w:val="FF0000"/>
        </w:rPr>
        <w:sectPr w:rsidR="0003640E" w:rsidRPr="006B77BB" w:rsidSect="00647E1E">
          <w:headerReference w:type="even" r:id="rId13"/>
          <w:footerReference w:type="even" r:id="rId14"/>
          <w:footerReference w:type="default" r:id="rId15"/>
          <w:headerReference w:type="first" r:id="rId16"/>
          <w:footerReference w:type="first" r:id="rId17"/>
          <w:pgSz w:w="11907" w:h="16840" w:code="9"/>
          <w:pgMar w:top="3970" w:right="1701" w:bottom="1701" w:left="1701" w:header="567" w:footer="1134" w:gutter="0"/>
          <w:cols w:space="720"/>
        </w:sectPr>
      </w:pPr>
    </w:p>
    <w:p w14:paraId="1E2F4717" w14:textId="77777777" w:rsidR="00452EC4" w:rsidRPr="006B77BB" w:rsidRDefault="00452EC4" w:rsidP="00775F57">
      <w:pPr>
        <w:pStyle w:val="Imprint"/>
        <w:spacing w:before="0" w:after="0"/>
        <w:rPr>
          <w:b/>
        </w:rPr>
      </w:pPr>
      <w:r w:rsidRPr="006B77BB">
        <w:rPr>
          <w:b/>
        </w:rPr>
        <w:lastRenderedPageBreak/>
        <w:t>Disclaimer</w:t>
      </w:r>
    </w:p>
    <w:p w14:paraId="688AD320" w14:textId="0F9584A0" w:rsidR="0059040D" w:rsidRDefault="0059040D" w:rsidP="0059040D">
      <w:pPr>
        <w:pStyle w:val="Imprint"/>
      </w:pPr>
      <w:r>
        <w:t xml:space="preserve">The information in this publication is, according to the Ministry for </w:t>
      </w:r>
      <w:r w:rsidR="00012A27">
        <w:t xml:space="preserve">Cities, Environment, Regions and Transport’s </w:t>
      </w:r>
      <w:r>
        <w:t xml:space="preserve">best efforts, accurate at the time of publication. The Ministry will make every reasonable effort to keep it current and accurate. However, users of this publication are advised that: </w:t>
      </w:r>
    </w:p>
    <w:p w14:paraId="30D27441" w14:textId="77777777" w:rsidR="0059040D" w:rsidRDefault="0059040D" w:rsidP="00D01DD6">
      <w:pPr>
        <w:pStyle w:val="Bullet"/>
      </w:pPr>
      <w:r>
        <w:t xml:space="preserve">the information does not alter the laws of New Zealand, other official guidelines, or requirements </w:t>
      </w:r>
    </w:p>
    <w:p w14:paraId="14C29E3C" w14:textId="77777777" w:rsidR="0059040D" w:rsidRDefault="0059040D" w:rsidP="00D01DD6">
      <w:pPr>
        <w:pStyle w:val="Bullet"/>
      </w:pPr>
      <w:r>
        <w:t xml:space="preserve">it does not constitute legal advice, and users should take specific advice from qualified professionals before taking any action based on information in this publication </w:t>
      </w:r>
    </w:p>
    <w:p w14:paraId="093D1541" w14:textId="77777777" w:rsidR="0059040D" w:rsidRDefault="0059040D" w:rsidP="00D01DD6">
      <w:pPr>
        <w:pStyle w:val="Bullet"/>
      </w:pPr>
      <w:r>
        <w:t xml:space="preserve">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 </w:t>
      </w:r>
    </w:p>
    <w:p w14:paraId="07650D99" w14:textId="77777777" w:rsidR="00452EC4" w:rsidRPr="006B77BB" w:rsidRDefault="0059040D" w:rsidP="00D01DD6">
      <w:pPr>
        <w:pStyle w:val="Bullet"/>
      </w:pPr>
      <w:r>
        <w:t>all references to websites, organisations or people not within the Ministry are for convenience only and should not be taken as endorsement of those websites or information contained in those websites nor of organisations or people referred to.</w:t>
      </w:r>
    </w:p>
    <w:p w14:paraId="285AC1E3" w14:textId="77777777" w:rsidR="00452EC4" w:rsidRDefault="00452EC4" w:rsidP="00452EC4">
      <w:pPr>
        <w:pStyle w:val="Imprint"/>
        <w:rPr>
          <w:b/>
        </w:rPr>
      </w:pPr>
    </w:p>
    <w:p w14:paraId="22DBAE39" w14:textId="77777777" w:rsidR="0086118A" w:rsidRPr="006B77BB" w:rsidRDefault="0086118A" w:rsidP="00452EC4">
      <w:pPr>
        <w:pStyle w:val="Imprint"/>
      </w:pPr>
    </w:p>
    <w:p w14:paraId="3CCCDA56" w14:textId="66802E80" w:rsidR="00452EC4" w:rsidRPr="006B77BB" w:rsidRDefault="00452EC4" w:rsidP="008140A2">
      <w:pPr>
        <w:pStyle w:val="BodyText"/>
      </w:pPr>
      <w:r w:rsidRPr="006B77BB">
        <w:t xml:space="preserve">This </w:t>
      </w:r>
      <w:r w:rsidR="00775F57" w:rsidRPr="006B77BB">
        <w:t>document</w:t>
      </w:r>
      <w:r w:rsidRPr="006B77BB">
        <w:t xml:space="preserve"> may be cited as:</w:t>
      </w:r>
      <w:r w:rsidR="00775F57" w:rsidRPr="006B77BB">
        <w:t xml:space="preserve"> Ministry for </w:t>
      </w:r>
      <w:r w:rsidR="00012A27">
        <w:t>Cities, Environment, Regions and Transport</w:t>
      </w:r>
      <w:r w:rsidR="00775F57" w:rsidRPr="006B77BB">
        <w:t xml:space="preserve">. </w:t>
      </w:r>
      <w:r w:rsidR="009B5D27">
        <w:t>2026</w:t>
      </w:r>
      <w:r w:rsidR="00775F57" w:rsidRPr="006B77BB">
        <w:t xml:space="preserve">. </w:t>
      </w:r>
      <w:r w:rsidR="00090BAD">
        <w:rPr>
          <w:i/>
        </w:rPr>
        <w:t>Housing Market Update</w:t>
      </w:r>
      <w:r w:rsidR="00EA02FC">
        <w:rPr>
          <w:i/>
        </w:rPr>
        <w:t xml:space="preserve">: </w:t>
      </w:r>
      <w:r w:rsidR="00EA02FC" w:rsidRPr="00D63B05">
        <w:rPr>
          <w:i/>
        </w:rPr>
        <w:t xml:space="preserve">June </w:t>
      </w:r>
      <w:r w:rsidR="00534530">
        <w:rPr>
          <w:i/>
        </w:rPr>
        <w:t xml:space="preserve">quarter </w:t>
      </w:r>
      <w:r w:rsidR="00EA02FC" w:rsidRPr="00D63B05">
        <w:rPr>
          <w:i/>
        </w:rPr>
        <w:t>2026</w:t>
      </w:r>
      <w:r w:rsidR="00775F57" w:rsidRPr="006B77BB">
        <w:t xml:space="preserve">. Wellington: Ministry for </w:t>
      </w:r>
      <w:r w:rsidR="00012A27">
        <w:t>Cities, Environment, Regions and Transport</w:t>
      </w:r>
      <w:r w:rsidR="00775F57" w:rsidRPr="006B77BB">
        <w:t>.</w:t>
      </w:r>
    </w:p>
    <w:p w14:paraId="19E0E9EA" w14:textId="77777777" w:rsidR="00760C00" w:rsidRDefault="00760C00" w:rsidP="0080531E">
      <w:pPr>
        <w:pStyle w:val="Imprint"/>
      </w:pPr>
    </w:p>
    <w:p w14:paraId="647A7339" w14:textId="77777777" w:rsidR="00457135" w:rsidRDefault="00457135" w:rsidP="0080531E">
      <w:pPr>
        <w:pStyle w:val="Imprint"/>
      </w:pPr>
    </w:p>
    <w:p w14:paraId="48A33AE8" w14:textId="77777777" w:rsidR="00563317" w:rsidRDefault="00563317" w:rsidP="0080531E">
      <w:pPr>
        <w:pStyle w:val="Imprint"/>
      </w:pPr>
    </w:p>
    <w:p w14:paraId="5CEEE561" w14:textId="61B39B0E" w:rsidR="00130A41" w:rsidRDefault="00130A41" w:rsidP="0080531E">
      <w:pPr>
        <w:pStyle w:val="Imprint"/>
      </w:pPr>
    </w:p>
    <w:p w14:paraId="53E2AEE7" w14:textId="77777777" w:rsidR="00457135" w:rsidRPr="006B77BB" w:rsidRDefault="00457135" w:rsidP="0080531E">
      <w:pPr>
        <w:pStyle w:val="Imprint"/>
      </w:pPr>
    </w:p>
    <w:p w14:paraId="3A5CA6A4" w14:textId="51442BF9" w:rsidR="0080531E" w:rsidRPr="006E3CC3" w:rsidRDefault="0080531E" w:rsidP="0080531E">
      <w:pPr>
        <w:pStyle w:val="Imprint"/>
      </w:pPr>
      <w:r w:rsidRPr="006B77BB">
        <w:t xml:space="preserve">Published in </w:t>
      </w:r>
      <w:r w:rsidR="0075280C">
        <w:t>August</w:t>
      </w:r>
      <w:r w:rsidR="009B5D27">
        <w:t xml:space="preserve"> 2026</w:t>
      </w:r>
      <w:r w:rsidRPr="006B77BB">
        <w:t xml:space="preserve"> by the</w:t>
      </w:r>
      <w:r w:rsidRPr="006B77BB">
        <w:br/>
        <w:t xml:space="preserve">Ministry for </w:t>
      </w:r>
      <w:r w:rsidR="00012A27">
        <w:t>Cities, Environment, Regions and Transport</w:t>
      </w:r>
      <w:r w:rsidRPr="006B77BB">
        <w:br/>
        <w:t>PO Box 10362, Wellington 6143, New Zealand</w:t>
      </w:r>
      <w:r w:rsidR="00F27E5C">
        <w:br/>
      </w:r>
      <w:r w:rsidR="00012A27" w:rsidRPr="004E0857">
        <w:rPr>
          <w:color w:val="006AC6"/>
        </w:rPr>
        <w:t>mcert.govt.nz</w:t>
      </w:r>
      <w:r w:rsidR="00012A27" w:rsidRPr="004E0857" w:rsidDel="00012A27">
        <w:rPr>
          <w:color w:val="006AC6"/>
        </w:rPr>
        <w:t xml:space="preserve"> </w:t>
      </w:r>
    </w:p>
    <w:p w14:paraId="0F71A970" w14:textId="13A086E4" w:rsidR="0080531E" w:rsidRPr="006B77BB" w:rsidRDefault="0080531E" w:rsidP="0080531E">
      <w:pPr>
        <w:pStyle w:val="Imprint"/>
        <w:tabs>
          <w:tab w:val="left" w:pos="720"/>
        </w:tabs>
        <w:ind w:left="720" w:hanging="720"/>
      </w:pPr>
      <w:r>
        <w:t xml:space="preserve">ISBN: </w:t>
      </w:r>
      <w:r w:rsidR="0066171A">
        <w:t>978-1-997358-03-9</w:t>
      </w:r>
    </w:p>
    <w:p w14:paraId="167DE896" w14:textId="3C096EB7" w:rsidR="0080531E" w:rsidRPr="006B77BB" w:rsidRDefault="0080531E" w:rsidP="0080531E">
      <w:pPr>
        <w:pStyle w:val="Imprint"/>
        <w:ind w:left="720" w:hanging="720"/>
      </w:pPr>
      <w:r w:rsidRPr="006B77BB">
        <w:t xml:space="preserve">Publication number: </w:t>
      </w:r>
      <w:r w:rsidR="00BA103E">
        <w:t>MCERT 3</w:t>
      </w:r>
    </w:p>
    <w:p w14:paraId="63774C06" w14:textId="48CAABF8" w:rsidR="0080531E" w:rsidRPr="00A84FE1" w:rsidRDefault="0080531E" w:rsidP="004056FA">
      <w:pPr>
        <w:pStyle w:val="Imprint"/>
        <w:spacing w:after="80"/>
        <w:sectPr w:rsidR="0080531E" w:rsidRPr="00A84FE1" w:rsidSect="0086118A">
          <w:headerReference w:type="even" r:id="rId18"/>
          <w:headerReference w:type="default" r:id="rId19"/>
          <w:footerReference w:type="even" r:id="rId20"/>
          <w:footerReference w:type="default" r:id="rId21"/>
          <w:pgSz w:w="11907" w:h="16840" w:code="9"/>
          <w:pgMar w:top="1134" w:right="1701" w:bottom="1134" w:left="1701" w:header="567" w:footer="567" w:gutter="0"/>
          <w:pgNumType w:fmt="lowerRoman"/>
          <w:cols w:space="720"/>
        </w:sectPr>
      </w:pPr>
      <w:r w:rsidRPr="006B77BB">
        <w:t xml:space="preserve">© Crown copyright New Zealand </w:t>
      </w:r>
      <w:r w:rsidR="009B5D27">
        <w:t>2026</w:t>
      </w:r>
    </w:p>
    <w:p w14:paraId="10EA2A51" w14:textId="1EFE0CD1" w:rsidR="009B5D27" w:rsidRDefault="0052040B" w:rsidP="00C67A53">
      <w:pPr>
        <w:pStyle w:val="Heading2"/>
        <w:spacing w:after="120" w:line="160" w:lineRule="exact"/>
      </w:pPr>
      <w:r>
        <w:lastRenderedPageBreak/>
        <w:t>Purpose of the report</w:t>
      </w:r>
    </w:p>
    <w:p w14:paraId="02660E31" w14:textId="69C01E95" w:rsidR="009B5D27" w:rsidRDefault="009B5D27" w:rsidP="009B5D27">
      <w:pPr>
        <w:pStyle w:val="BodyText"/>
      </w:pPr>
      <w:r>
        <w:t xml:space="preserve">The purpose of the quarterly housing market update is to provide the Ministry for Cities, Environment, Regions &amp; Transport (MCERT), relevant housing agencies, the residential property and construction sector, and the wider public with an overview of housing and rental markets, residential construction, and broader economic conditions. </w:t>
      </w:r>
    </w:p>
    <w:p w14:paraId="203B1A16" w14:textId="32DD6B93" w:rsidR="009B5D27" w:rsidRDefault="009B5D27" w:rsidP="009B5D27">
      <w:pPr>
        <w:pStyle w:val="BodyText"/>
      </w:pPr>
      <w:r>
        <w:t>Each update features analysis of changes from the last quarter and the previous 12 months. It aims to provide a regular snapshot of current housing and rental market conditions by bringing a range of indicators together into one view and consider</w:t>
      </w:r>
      <w:r w:rsidR="009726AD">
        <w:t>ing</w:t>
      </w:r>
      <w:r>
        <w:t xml:space="preserve"> recent trends and emerging outlooks. </w:t>
      </w:r>
    </w:p>
    <w:p w14:paraId="16647EE3" w14:textId="3F65A882" w:rsidR="009B5D27" w:rsidRDefault="009B5D27" w:rsidP="009B5D27">
      <w:pPr>
        <w:pStyle w:val="BodyText"/>
      </w:pPr>
      <w:r>
        <w:t xml:space="preserve">Any questions or feedback can be directed to </w:t>
      </w:r>
      <w:r w:rsidR="00191896">
        <w:t>enquiries@mcert</w:t>
      </w:r>
      <w:r>
        <w:t>.govt.nz</w:t>
      </w:r>
      <w:r w:rsidR="00165D80">
        <w:t>.</w:t>
      </w:r>
    </w:p>
    <w:p w14:paraId="28647A1F" w14:textId="77777777" w:rsidR="009B5D27" w:rsidRDefault="009B5D27" w:rsidP="00491E86">
      <w:pPr>
        <w:pStyle w:val="Heading3"/>
        <w:spacing w:before="240" w:line="240" w:lineRule="exact"/>
      </w:pPr>
      <w:bookmarkStart w:id="3" w:name="_Toc234687959"/>
      <w:bookmarkStart w:id="4" w:name="_Toc234688183"/>
      <w:bookmarkStart w:id="5" w:name="_Toc235108974"/>
      <w:r>
        <w:t>Coverage and sources</w:t>
      </w:r>
      <w:bookmarkEnd w:id="3"/>
      <w:bookmarkEnd w:id="4"/>
      <w:bookmarkEnd w:id="5"/>
    </w:p>
    <w:p w14:paraId="31ADBED2" w14:textId="6EA5FCB2" w:rsidR="009B5D27" w:rsidRDefault="009B5D27" w:rsidP="00C619E8">
      <w:pPr>
        <w:pStyle w:val="BodyText"/>
        <w:spacing w:before="0"/>
      </w:pPr>
      <w:r>
        <w:t>This update covers statistics and information from the latest quarter – June 2026</w:t>
      </w:r>
      <w:r w:rsidR="00092D34">
        <w:t xml:space="preserve"> – and </w:t>
      </w:r>
      <w:r w:rsidR="0057017D">
        <w:t>includes</w:t>
      </w:r>
      <w:r w:rsidR="00EB4F7F">
        <w:t xml:space="preserve"> data available </w:t>
      </w:r>
      <w:r w:rsidR="00AB470E">
        <w:t>up to</w:t>
      </w:r>
      <w:r w:rsidR="00B30489">
        <w:t xml:space="preserve"> </w:t>
      </w:r>
      <w:r w:rsidR="00380C43">
        <w:t>21</w:t>
      </w:r>
      <w:r w:rsidR="00380C43" w:rsidRPr="00380C43">
        <w:rPr>
          <w:vertAlign w:val="superscript"/>
        </w:rPr>
        <w:t>st</w:t>
      </w:r>
      <w:r w:rsidR="00380C43">
        <w:t xml:space="preserve"> July</w:t>
      </w:r>
      <w:r w:rsidR="00D31E70">
        <w:t xml:space="preserve"> 2026</w:t>
      </w:r>
      <w:r>
        <w:t>. However, where the data is lagged this will be noted. The update references a range of publicly available data and some internally produced data where noted.</w:t>
      </w:r>
    </w:p>
    <w:p w14:paraId="717E43AC" w14:textId="77777777" w:rsidR="009B5D27" w:rsidRDefault="009B5D27" w:rsidP="00491E86">
      <w:pPr>
        <w:pStyle w:val="Heading3"/>
        <w:spacing w:before="240" w:line="240" w:lineRule="exact"/>
      </w:pPr>
      <w:bookmarkStart w:id="6" w:name="_Toc234687960"/>
      <w:bookmarkStart w:id="7" w:name="_Toc234688184"/>
      <w:bookmarkStart w:id="8" w:name="_Toc235108975"/>
      <w:r>
        <w:t>Abbreviations and Terms</w:t>
      </w:r>
      <w:bookmarkEnd w:id="6"/>
      <w:bookmarkEnd w:id="7"/>
      <w:bookmarkEnd w:id="8"/>
    </w:p>
    <w:p w14:paraId="13F6FEF8" w14:textId="09B80291" w:rsidR="009B5D27" w:rsidRDefault="009B5D27" w:rsidP="00C619E8">
      <w:pPr>
        <w:pStyle w:val="BodyText"/>
        <w:spacing w:before="0"/>
      </w:pPr>
      <w:r>
        <w:t xml:space="preserve">Abbreviations are used throughout this document for brevity. A glossary of abbreviations and key terms used can be found on </w:t>
      </w:r>
      <w:r w:rsidRPr="00EA02FC">
        <w:t xml:space="preserve">page </w:t>
      </w:r>
      <w:r w:rsidR="004F5DED">
        <w:t>9</w:t>
      </w:r>
      <w:r w:rsidRPr="00EA02FC">
        <w:t>.</w:t>
      </w:r>
    </w:p>
    <w:p w14:paraId="05A02FB6" w14:textId="77777777" w:rsidR="009B5D27" w:rsidRDefault="009B5D27" w:rsidP="00491E86">
      <w:pPr>
        <w:pStyle w:val="Heading3"/>
        <w:spacing w:before="240" w:line="240" w:lineRule="exact"/>
      </w:pPr>
      <w:bookmarkStart w:id="9" w:name="_Toc234687961"/>
      <w:bookmarkStart w:id="10" w:name="_Toc234688185"/>
      <w:bookmarkStart w:id="11" w:name="_Toc235108976"/>
      <w:r>
        <w:t>Our approach to analysing the housing market</w:t>
      </w:r>
      <w:bookmarkEnd w:id="9"/>
      <w:bookmarkEnd w:id="10"/>
      <w:bookmarkEnd w:id="11"/>
    </w:p>
    <w:p w14:paraId="6D5314C2" w14:textId="77777777" w:rsidR="009B5D27" w:rsidRDefault="009B5D27" w:rsidP="00C619E8">
      <w:pPr>
        <w:pStyle w:val="BodyText"/>
        <w:spacing w:before="0"/>
      </w:pPr>
      <w:r>
        <w:t xml:space="preserve">Housing outcomes are shaped by many interconnected systems. Factors such as land use regulation, infrastructure provision, financial conditions, demographic change, and social services interact to influence housing costs, availability and quality, and people’s ability to access secure and stable homes. </w:t>
      </w:r>
    </w:p>
    <w:p w14:paraId="275046CC" w14:textId="77777777" w:rsidR="009B5D27" w:rsidRDefault="009B5D27" w:rsidP="009B5D27">
      <w:pPr>
        <w:pStyle w:val="BodyText"/>
      </w:pPr>
      <w:r>
        <w:t>On a quarterly basis, to understand changing trends in the housing market, we analyse three interconnected markets: rental, property, and residential construction.</w:t>
      </w:r>
    </w:p>
    <w:p w14:paraId="4DB8BE60" w14:textId="77777777" w:rsidR="009B5D27" w:rsidRDefault="009B5D27" w:rsidP="009B5D27">
      <w:pPr>
        <w:pStyle w:val="BodyText"/>
      </w:pPr>
      <w:r>
        <w:t>Housing market data is subject to short-term volatility. To distinguish signal from noise, the Housing Market Update focuses on trends over time rather than individual monthly observations, and where possible prefers indexes over point measures such as medians.</w:t>
      </w:r>
    </w:p>
    <w:p w14:paraId="436C408B" w14:textId="7435E844" w:rsidR="00AB4142" w:rsidRDefault="009B5D27" w:rsidP="009B5D27">
      <w:pPr>
        <w:pStyle w:val="BodyText"/>
      </w:pPr>
      <w:r>
        <w:t>We assess changes in the housing system using our affordability indicators, tracking changes in rental and house purchase affordability over time. We also combine leading indicators (for example, listings and consents) with lagging indicators (for example, house and rent price indices) to gauge current conditions and direction. This is set within the broader macroeconomic context and complemented by sector reports that data alone may not capture.</w:t>
      </w:r>
    </w:p>
    <w:p w14:paraId="72AC757E" w14:textId="2016457F" w:rsidR="0080531E" w:rsidRDefault="0080531E" w:rsidP="00C619E8">
      <w:pPr>
        <w:pStyle w:val="Heading2"/>
      </w:pPr>
      <w:r w:rsidRPr="00F06E0B">
        <w:t>Contents</w:t>
      </w:r>
    </w:p>
    <w:p w14:paraId="4D218C04" w14:textId="77777777" w:rsidR="00C619E8" w:rsidRPr="00C619E8" w:rsidRDefault="00C619E8" w:rsidP="00C619E8">
      <w:pPr>
        <w:pStyle w:val="BodyText"/>
      </w:pPr>
    </w:p>
    <w:p w14:paraId="51E905DF" w14:textId="788D5C39" w:rsidR="00165D80" w:rsidRPr="00C619E8" w:rsidRDefault="00775F57" w:rsidP="00262825">
      <w:pPr>
        <w:pStyle w:val="TOC1"/>
        <w:tabs>
          <w:tab w:val="clear" w:pos="8505"/>
        </w:tabs>
        <w:spacing w:before="0"/>
        <w:ind w:right="260"/>
        <w:rPr>
          <w:rFonts w:asciiTheme="minorHAnsi" w:hAnsiTheme="minorHAnsi"/>
          <w:noProof/>
          <w:kern w:val="2"/>
          <w:lang w:eastAsia="zh-CN" w:bidi="th-TH"/>
          <w14:ligatures w14:val="standardContextual"/>
        </w:rPr>
      </w:pPr>
      <w:r w:rsidRPr="002A4D72">
        <w:rPr>
          <w:b/>
          <w:bCs/>
          <w:color w:val="0092CF"/>
          <w:sz w:val="24"/>
          <w:szCs w:val="24"/>
        </w:rPr>
        <w:fldChar w:fldCharType="begin"/>
      </w:r>
      <w:r w:rsidRPr="002A4D72">
        <w:rPr>
          <w:b/>
          <w:bCs/>
          <w:color w:val="0092CF"/>
          <w:sz w:val="24"/>
          <w:szCs w:val="24"/>
        </w:rPr>
        <w:instrText xml:space="preserve"> TOC \h \z \t "Heading 1,1,Heading 2,2" </w:instrText>
      </w:r>
      <w:r w:rsidRPr="002A4D72">
        <w:rPr>
          <w:b/>
          <w:bCs/>
          <w:color w:val="0092CF"/>
          <w:sz w:val="24"/>
          <w:szCs w:val="24"/>
        </w:rPr>
        <w:fldChar w:fldCharType="separate"/>
      </w:r>
      <w:hyperlink w:anchor="_Toc235108977" w:history="1">
        <w:r w:rsidR="00165D80" w:rsidRPr="00C619E8">
          <w:rPr>
            <w:rStyle w:val="Hyperlink"/>
            <w:noProof/>
          </w:rPr>
          <w:t>Key insights</w:t>
        </w:r>
        <w:r w:rsidR="002A4D72" w:rsidRPr="00C619E8">
          <w:rPr>
            <w:rStyle w:val="Hyperlink"/>
            <w:noProof/>
          </w:rPr>
          <w:t xml:space="preserve"> ………………………………………………………………………………………………………</w:t>
        </w:r>
        <w:r w:rsidR="00262825">
          <w:rPr>
            <w:rStyle w:val="Hyperlink"/>
            <w:noProof/>
          </w:rPr>
          <w:t>………………………………………….</w:t>
        </w:r>
        <w:r w:rsidR="002A4D72" w:rsidRPr="00C619E8">
          <w:rPr>
            <w:rStyle w:val="Hyperlink"/>
            <w:noProof/>
          </w:rPr>
          <w:t>.</w:t>
        </w:r>
        <w:r w:rsidR="00165D80" w:rsidRPr="00C619E8">
          <w:rPr>
            <w:noProof/>
            <w:webHidden/>
          </w:rPr>
          <w:tab/>
        </w:r>
        <w:r w:rsidR="00165D80" w:rsidRPr="00C619E8">
          <w:rPr>
            <w:noProof/>
            <w:webHidden/>
          </w:rPr>
          <w:fldChar w:fldCharType="begin"/>
        </w:r>
        <w:r w:rsidR="00165D80" w:rsidRPr="00C619E8">
          <w:rPr>
            <w:noProof/>
            <w:webHidden/>
          </w:rPr>
          <w:instrText xml:space="preserve"> PAGEREF _Toc235108977 \h </w:instrText>
        </w:r>
        <w:r w:rsidR="00165D80" w:rsidRPr="00C619E8">
          <w:rPr>
            <w:noProof/>
            <w:webHidden/>
          </w:rPr>
        </w:r>
        <w:r w:rsidR="00165D80" w:rsidRPr="00C619E8">
          <w:rPr>
            <w:noProof/>
            <w:webHidden/>
          </w:rPr>
          <w:fldChar w:fldCharType="separate"/>
        </w:r>
        <w:r w:rsidR="005843E5">
          <w:rPr>
            <w:noProof/>
            <w:webHidden/>
          </w:rPr>
          <w:t>4</w:t>
        </w:r>
        <w:r w:rsidR="00165D80" w:rsidRPr="00C619E8">
          <w:rPr>
            <w:noProof/>
            <w:webHidden/>
          </w:rPr>
          <w:fldChar w:fldCharType="end"/>
        </w:r>
      </w:hyperlink>
    </w:p>
    <w:p w14:paraId="73931EFD" w14:textId="4C935C9F" w:rsidR="00165D80" w:rsidRPr="00C619E8" w:rsidRDefault="00165D80" w:rsidP="00262825">
      <w:pPr>
        <w:pStyle w:val="TOC1"/>
        <w:tabs>
          <w:tab w:val="clear" w:pos="8505"/>
        </w:tabs>
        <w:spacing w:before="0"/>
        <w:ind w:right="260"/>
        <w:rPr>
          <w:rFonts w:asciiTheme="minorHAnsi" w:hAnsiTheme="minorHAnsi"/>
          <w:noProof/>
          <w:kern w:val="2"/>
          <w:lang w:eastAsia="zh-CN" w:bidi="th-TH"/>
          <w14:ligatures w14:val="standardContextual"/>
        </w:rPr>
      </w:pPr>
      <w:hyperlink w:anchor="_Toc235108978" w:history="1">
        <w:r w:rsidRPr="00C619E8">
          <w:rPr>
            <w:rStyle w:val="Hyperlink"/>
            <w:noProof/>
          </w:rPr>
          <w:t>The economy</w:t>
        </w:r>
        <w:r w:rsidR="002A4D72" w:rsidRPr="00C619E8">
          <w:rPr>
            <w:rStyle w:val="Hyperlink"/>
            <w:noProof/>
          </w:rPr>
          <w:t xml:space="preserve"> …………………………………………………………………………………………………</w:t>
        </w:r>
        <w:r w:rsidR="00262825" w:rsidRPr="00262825">
          <w:rPr>
            <w:rStyle w:val="Hyperlink"/>
            <w:noProof/>
          </w:rPr>
          <w:t>………………………………………</w:t>
        </w:r>
        <w:r w:rsidR="00262825">
          <w:rPr>
            <w:rStyle w:val="Hyperlink"/>
            <w:noProof/>
          </w:rPr>
          <w:t>…..</w:t>
        </w:r>
        <w:r w:rsidR="002A4D72" w:rsidRPr="00C619E8">
          <w:rPr>
            <w:rStyle w:val="Hyperlink"/>
            <w:noProof/>
          </w:rPr>
          <w:t>…</w:t>
        </w:r>
        <w:r w:rsidR="00262825">
          <w:rPr>
            <w:rStyle w:val="Hyperlink"/>
            <w:noProof/>
          </w:rPr>
          <w:t>.</w:t>
        </w:r>
        <w:r w:rsidRPr="00C619E8">
          <w:rPr>
            <w:noProof/>
            <w:webHidden/>
          </w:rPr>
          <w:tab/>
        </w:r>
        <w:r w:rsidRPr="00C619E8">
          <w:rPr>
            <w:noProof/>
            <w:webHidden/>
          </w:rPr>
          <w:fldChar w:fldCharType="begin"/>
        </w:r>
        <w:r w:rsidRPr="00C619E8">
          <w:rPr>
            <w:noProof/>
            <w:webHidden/>
          </w:rPr>
          <w:instrText xml:space="preserve"> PAGEREF _Toc235108978 \h </w:instrText>
        </w:r>
        <w:r w:rsidRPr="00C619E8">
          <w:rPr>
            <w:noProof/>
            <w:webHidden/>
          </w:rPr>
        </w:r>
        <w:r w:rsidRPr="00C619E8">
          <w:rPr>
            <w:noProof/>
            <w:webHidden/>
          </w:rPr>
          <w:fldChar w:fldCharType="separate"/>
        </w:r>
        <w:r w:rsidR="005843E5">
          <w:rPr>
            <w:noProof/>
            <w:webHidden/>
          </w:rPr>
          <w:t>5</w:t>
        </w:r>
        <w:r w:rsidRPr="00C619E8">
          <w:rPr>
            <w:noProof/>
            <w:webHidden/>
          </w:rPr>
          <w:fldChar w:fldCharType="end"/>
        </w:r>
      </w:hyperlink>
    </w:p>
    <w:p w14:paraId="4E2B31AB" w14:textId="48B89648" w:rsidR="00165D80" w:rsidRPr="00C619E8" w:rsidRDefault="00165D80" w:rsidP="00262825">
      <w:pPr>
        <w:pStyle w:val="TOC1"/>
        <w:tabs>
          <w:tab w:val="clear" w:pos="8505"/>
        </w:tabs>
        <w:spacing w:before="0"/>
        <w:ind w:right="260"/>
        <w:rPr>
          <w:rFonts w:asciiTheme="minorHAnsi" w:hAnsiTheme="minorHAnsi"/>
          <w:noProof/>
          <w:kern w:val="2"/>
          <w:lang w:eastAsia="zh-CN" w:bidi="th-TH"/>
          <w14:ligatures w14:val="standardContextual"/>
        </w:rPr>
      </w:pPr>
      <w:hyperlink w:anchor="_Toc235108981" w:history="1">
        <w:r w:rsidRPr="00C619E8">
          <w:rPr>
            <w:rStyle w:val="Hyperlink"/>
            <w:noProof/>
          </w:rPr>
          <w:t>Rental market</w:t>
        </w:r>
        <w:r w:rsidR="002A4D72" w:rsidRPr="00C619E8">
          <w:rPr>
            <w:rStyle w:val="Hyperlink"/>
            <w:noProof/>
          </w:rPr>
          <w:t xml:space="preserve"> …………………………………………………………………………………</w:t>
        </w:r>
        <w:r w:rsidR="00262825" w:rsidRPr="00262825">
          <w:rPr>
            <w:rStyle w:val="Hyperlink"/>
            <w:noProof/>
          </w:rPr>
          <w:t>………………………………………</w:t>
        </w:r>
        <w:r w:rsidR="00262825">
          <w:rPr>
            <w:rStyle w:val="Hyperlink"/>
            <w:noProof/>
          </w:rPr>
          <w:t>….</w:t>
        </w:r>
        <w:r w:rsidR="002A4D72" w:rsidRPr="00C619E8">
          <w:rPr>
            <w:rStyle w:val="Hyperlink"/>
            <w:noProof/>
          </w:rPr>
          <w:t>…………………</w:t>
        </w:r>
        <w:r w:rsidRPr="00C619E8">
          <w:rPr>
            <w:noProof/>
            <w:webHidden/>
          </w:rPr>
          <w:tab/>
        </w:r>
        <w:r w:rsidRPr="00C619E8">
          <w:rPr>
            <w:noProof/>
            <w:webHidden/>
          </w:rPr>
          <w:fldChar w:fldCharType="begin"/>
        </w:r>
        <w:r w:rsidRPr="00C619E8">
          <w:rPr>
            <w:noProof/>
            <w:webHidden/>
          </w:rPr>
          <w:instrText xml:space="preserve"> PAGEREF _Toc235108981 \h </w:instrText>
        </w:r>
        <w:r w:rsidRPr="00C619E8">
          <w:rPr>
            <w:noProof/>
            <w:webHidden/>
          </w:rPr>
        </w:r>
        <w:r w:rsidRPr="00C619E8">
          <w:rPr>
            <w:noProof/>
            <w:webHidden/>
          </w:rPr>
          <w:fldChar w:fldCharType="separate"/>
        </w:r>
        <w:r w:rsidR="005843E5">
          <w:rPr>
            <w:noProof/>
            <w:webHidden/>
          </w:rPr>
          <w:t>6</w:t>
        </w:r>
        <w:r w:rsidRPr="00C619E8">
          <w:rPr>
            <w:noProof/>
            <w:webHidden/>
          </w:rPr>
          <w:fldChar w:fldCharType="end"/>
        </w:r>
      </w:hyperlink>
    </w:p>
    <w:p w14:paraId="34632D95" w14:textId="796F1EB8" w:rsidR="00165D80" w:rsidRPr="00C619E8" w:rsidRDefault="00165D80" w:rsidP="00262825">
      <w:pPr>
        <w:pStyle w:val="TOC1"/>
        <w:tabs>
          <w:tab w:val="clear" w:pos="8505"/>
        </w:tabs>
        <w:spacing w:before="0"/>
        <w:ind w:right="260"/>
        <w:rPr>
          <w:rFonts w:asciiTheme="minorHAnsi" w:hAnsiTheme="minorHAnsi"/>
          <w:noProof/>
          <w:kern w:val="2"/>
          <w:lang w:eastAsia="zh-CN" w:bidi="th-TH"/>
          <w14:ligatures w14:val="standardContextual"/>
        </w:rPr>
      </w:pPr>
      <w:hyperlink w:anchor="_Toc235108984" w:history="1">
        <w:r w:rsidRPr="00C619E8">
          <w:rPr>
            <w:rStyle w:val="Hyperlink"/>
            <w:noProof/>
          </w:rPr>
          <w:t>Property market</w:t>
        </w:r>
        <w:r w:rsidR="002A4D72" w:rsidRPr="00C619E8">
          <w:rPr>
            <w:rStyle w:val="Hyperlink"/>
            <w:noProof/>
          </w:rPr>
          <w:t xml:space="preserve"> …………………………………………………………………………</w:t>
        </w:r>
        <w:r w:rsidR="00262825" w:rsidRPr="00262825">
          <w:rPr>
            <w:rStyle w:val="Hyperlink"/>
            <w:noProof/>
          </w:rPr>
          <w:t>………………………………………</w:t>
        </w:r>
        <w:r w:rsidR="00262825">
          <w:rPr>
            <w:rStyle w:val="Hyperlink"/>
            <w:noProof/>
          </w:rPr>
          <w:t>…</w:t>
        </w:r>
        <w:r w:rsidR="002A4D72" w:rsidRPr="00C619E8">
          <w:rPr>
            <w:rStyle w:val="Hyperlink"/>
            <w:noProof/>
          </w:rPr>
          <w:t>……………………..</w:t>
        </w:r>
        <w:r w:rsidRPr="00C619E8">
          <w:rPr>
            <w:noProof/>
            <w:webHidden/>
          </w:rPr>
          <w:tab/>
        </w:r>
        <w:r w:rsidRPr="00C619E8">
          <w:rPr>
            <w:noProof/>
            <w:webHidden/>
          </w:rPr>
          <w:fldChar w:fldCharType="begin"/>
        </w:r>
        <w:r w:rsidRPr="00C619E8">
          <w:rPr>
            <w:noProof/>
            <w:webHidden/>
          </w:rPr>
          <w:instrText xml:space="preserve"> PAGEREF _Toc235108984 \h </w:instrText>
        </w:r>
        <w:r w:rsidRPr="00C619E8">
          <w:rPr>
            <w:noProof/>
            <w:webHidden/>
          </w:rPr>
        </w:r>
        <w:r w:rsidRPr="00C619E8">
          <w:rPr>
            <w:noProof/>
            <w:webHidden/>
          </w:rPr>
          <w:fldChar w:fldCharType="separate"/>
        </w:r>
        <w:r w:rsidR="005843E5">
          <w:rPr>
            <w:noProof/>
            <w:webHidden/>
          </w:rPr>
          <w:t>7</w:t>
        </w:r>
        <w:r w:rsidRPr="00C619E8">
          <w:rPr>
            <w:noProof/>
            <w:webHidden/>
          </w:rPr>
          <w:fldChar w:fldCharType="end"/>
        </w:r>
      </w:hyperlink>
    </w:p>
    <w:p w14:paraId="619BA246" w14:textId="4C30796F" w:rsidR="00165D80" w:rsidRPr="00C619E8" w:rsidRDefault="00165D80" w:rsidP="00262825">
      <w:pPr>
        <w:pStyle w:val="TOC1"/>
        <w:tabs>
          <w:tab w:val="clear" w:pos="8505"/>
        </w:tabs>
        <w:spacing w:before="0"/>
        <w:ind w:right="260"/>
        <w:rPr>
          <w:rFonts w:asciiTheme="minorHAnsi" w:hAnsiTheme="minorHAnsi"/>
          <w:noProof/>
          <w:kern w:val="2"/>
          <w:lang w:eastAsia="zh-CN" w:bidi="th-TH"/>
          <w14:ligatures w14:val="standardContextual"/>
        </w:rPr>
      </w:pPr>
      <w:hyperlink w:anchor="_Toc235108987" w:history="1">
        <w:r w:rsidRPr="00C619E8">
          <w:rPr>
            <w:rStyle w:val="Hyperlink"/>
            <w:noProof/>
          </w:rPr>
          <w:t>Residential construction</w:t>
        </w:r>
        <w:r w:rsidR="002A4D72" w:rsidRPr="00C619E8">
          <w:rPr>
            <w:rStyle w:val="Hyperlink"/>
            <w:noProof/>
          </w:rPr>
          <w:t xml:space="preserve"> ………………………………………………………………………………</w:t>
        </w:r>
        <w:r w:rsidR="00262825" w:rsidRPr="00262825">
          <w:rPr>
            <w:rStyle w:val="Hyperlink"/>
            <w:noProof/>
          </w:rPr>
          <w:t>………………………………………</w:t>
        </w:r>
        <w:r w:rsidR="00262825">
          <w:rPr>
            <w:rStyle w:val="Hyperlink"/>
            <w:noProof/>
          </w:rPr>
          <w:t>….</w:t>
        </w:r>
        <w:r w:rsidR="002A4D72" w:rsidRPr="00C619E8">
          <w:rPr>
            <w:rStyle w:val="Hyperlink"/>
            <w:noProof/>
          </w:rPr>
          <w:t>……</w:t>
        </w:r>
        <w:r w:rsidRPr="00C619E8">
          <w:rPr>
            <w:noProof/>
            <w:webHidden/>
          </w:rPr>
          <w:tab/>
        </w:r>
        <w:r w:rsidRPr="00C619E8">
          <w:rPr>
            <w:noProof/>
            <w:webHidden/>
          </w:rPr>
          <w:fldChar w:fldCharType="begin"/>
        </w:r>
        <w:r w:rsidRPr="00C619E8">
          <w:rPr>
            <w:noProof/>
            <w:webHidden/>
          </w:rPr>
          <w:instrText xml:space="preserve"> PAGEREF _Toc235108987 \h </w:instrText>
        </w:r>
        <w:r w:rsidRPr="00C619E8">
          <w:rPr>
            <w:noProof/>
            <w:webHidden/>
          </w:rPr>
        </w:r>
        <w:r w:rsidRPr="00C619E8">
          <w:rPr>
            <w:noProof/>
            <w:webHidden/>
          </w:rPr>
          <w:fldChar w:fldCharType="separate"/>
        </w:r>
        <w:r w:rsidR="005843E5">
          <w:rPr>
            <w:noProof/>
            <w:webHidden/>
          </w:rPr>
          <w:t>8</w:t>
        </w:r>
        <w:r w:rsidRPr="00C619E8">
          <w:rPr>
            <w:noProof/>
            <w:webHidden/>
          </w:rPr>
          <w:fldChar w:fldCharType="end"/>
        </w:r>
      </w:hyperlink>
    </w:p>
    <w:p w14:paraId="4E28B773" w14:textId="6BCA16CD" w:rsidR="00165D80" w:rsidRPr="00C619E8" w:rsidRDefault="00165D80" w:rsidP="00262825">
      <w:pPr>
        <w:pStyle w:val="TOC2"/>
        <w:tabs>
          <w:tab w:val="clear" w:pos="8505"/>
        </w:tabs>
        <w:spacing w:before="0" w:after="0"/>
        <w:ind w:left="567" w:right="260"/>
        <w:rPr>
          <w:rFonts w:asciiTheme="minorHAnsi" w:hAnsiTheme="minorHAnsi"/>
          <w:noProof/>
          <w:kern w:val="2"/>
          <w:lang w:eastAsia="zh-CN" w:bidi="th-TH"/>
          <w14:ligatures w14:val="standardContextual"/>
        </w:rPr>
      </w:pPr>
      <w:hyperlink w:anchor="_Toc235108990" w:history="1">
        <w:r w:rsidRPr="00C619E8">
          <w:rPr>
            <w:rStyle w:val="Hyperlink"/>
            <w:noProof/>
            <w:lang w:eastAsia="en-US"/>
          </w:rPr>
          <w:t>Glossary of key abbreviations and terms</w:t>
        </w:r>
        <w:r w:rsidR="002A4D72" w:rsidRPr="00C619E8">
          <w:rPr>
            <w:rStyle w:val="Hyperlink"/>
            <w:noProof/>
            <w:lang w:eastAsia="en-US"/>
          </w:rPr>
          <w:t xml:space="preserve"> …………………………………………</w:t>
        </w:r>
        <w:r w:rsidR="00262825" w:rsidRPr="00262825">
          <w:rPr>
            <w:rStyle w:val="Hyperlink"/>
            <w:noProof/>
            <w:lang w:eastAsia="en-US"/>
          </w:rPr>
          <w:t>………………………………………</w:t>
        </w:r>
        <w:r w:rsidR="00262825">
          <w:rPr>
            <w:rStyle w:val="Hyperlink"/>
            <w:noProof/>
            <w:lang w:eastAsia="en-US"/>
          </w:rPr>
          <w:t>….</w:t>
        </w:r>
        <w:r w:rsidR="002A4D72" w:rsidRPr="00C619E8">
          <w:rPr>
            <w:rStyle w:val="Hyperlink"/>
            <w:noProof/>
            <w:lang w:eastAsia="en-US"/>
          </w:rPr>
          <w:t>………………..</w:t>
        </w:r>
        <w:r w:rsidRPr="00C619E8">
          <w:rPr>
            <w:noProof/>
            <w:webHidden/>
          </w:rPr>
          <w:tab/>
        </w:r>
        <w:r w:rsidRPr="00C619E8">
          <w:rPr>
            <w:noProof/>
            <w:webHidden/>
          </w:rPr>
          <w:fldChar w:fldCharType="begin"/>
        </w:r>
        <w:r w:rsidRPr="00C619E8">
          <w:rPr>
            <w:noProof/>
            <w:webHidden/>
          </w:rPr>
          <w:instrText xml:space="preserve"> PAGEREF _Toc235108990 \h </w:instrText>
        </w:r>
        <w:r w:rsidRPr="00C619E8">
          <w:rPr>
            <w:noProof/>
            <w:webHidden/>
          </w:rPr>
        </w:r>
        <w:r w:rsidRPr="00C619E8">
          <w:rPr>
            <w:noProof/>
            <w:webHidden/>
          </w:rPr>
          <w:fldChar w:fldCharType="separate"/>
        </w:r>
        <w:r w:rsidR="005843E5">
          <w:rPr>
            <w:noProof/>
            <w:webHidden/>
          </w:rPr>
          <w:t>9</w:t>
        </w:r>
        <w:r w:rsidRPr="00C619E8">
          <w:rPr>
            <w:noProof/>
            <w:webHidden/>
          </w:rPr>
          <w:fldChar w:fldCharType="end"/>
        </w:r>
      </w:hyperlink>
    </w:p>
    <w:p w14:paraId="0B12A48D" w14:textId="52410F6C" w:rsidR="00165D80" w:rsidRPr="00C619E8" w:rsidRDefault="00165D80" w:rsidP="00262825">
      <w:pPr>
        <w:pStyle w:val="TOC2"/>
        <w:tabs>
          <w:tab w:val="clear" w:pos="8505"/>
        </w:tabs>
        <w:spacing w:before="0" w:after="0"/>
        <w:ind w:left="567" w:right="260"/>
        <w:rPr>
          <w:rFonts w:asciiTheme="minorHAnsi" w:hAnsiTheme="minorHAnsi"/>
          <w:noProof/>
          <w:kern w:val="2"/>
          <w:lang w:eastAsia="zh-CN" w:bidi="th-TH"/>
          <w14:ligatures w14:val="standardContextual"/>
        </w:rPr>
      </w:pPr>
      <w:hyperlink w:anchor="_Toc235108991" w:history="1">
        <w:r w:rsidRPr="00C619E8">
          <w:rPr>
            <w:rStyle w:val="Hyperlink"/>
            <w:noProof/>
          </w:rPr>
          <w:t>Rental market charts</w:t>
        </w:r>
        <w:r w:rsidR="002A4D72" w:rsidRPr="00C619E8">
          <w:rPr>
            <w:rStyle w:val="Hyperlink"/>
            <w:noProof/>
          </w:rPr>
          <w:t xml:space="preserve"> ……………………………………………………………………</w:t>
        </w:r>
        <w:r w:rsidR="00262825" w:rsidRPr="00262825">
          <w:rPr>
            <w:rStyle w:val="Hyperlink"/>
            <w:noProof/>
          </w:rPr>
          <w:t>………………………………………</w:t>
        </w:r>
        <w:r w:rsidR="00262825">
          <w:rPr>
            <w:rStyle w:val="Hyperlink"/>
            <w:noProof/>
          </w:rPr>
          <w:t>….</w:t>
        </w:r>
        <w:r w:rsidR="002A4D72" w:rsidRPr="00C619E8">
          <w:rPr>
            <w:rStyle w:val="Hyperlink"/>
            <w:noProof/>
          </w:rPr>
          <w:t>……………………</w:t>
        </w:r>
        <w:r w:rsidRPr="00C619E8">
          <w:rPr>
            <w:noProof/>
            <w:webHidden/>
          </w:rPr>
          <w:tab/>
        </w:r>
        <w:r w:rsidRPr="00C619E8">
          <w:rPr>
            <w:noProof/>
            <w:webHidden/>
          </w:rPr>
          <w:fldChar w:fldCharType="begin"/>
        </w:r>
        <w:r w:rsidRPr="00C619E8">
          <w:rPr>
            <w:noProof/>
            <w:webHidden/>
          </w:rPr>
          <w:instrText xml:space="preserve"> PAGEREF _Toc235108991 \h </w:instrText>
        </w:r>
        <w:r w:rsidRPr="00C619E8">
          <w:rPr>
            <w:noProof/>
            <w:webHidden/>
          </w:rPr>
        </w:r>
        <w:r w:rsidRPr="00C619E8">
          <w:rPr>
            <w:noProof/>
            <w:webHidden/>
          </w:rPr>
          <w:fldChar w:fldCharType="separate"/>
        </w:r>
        <w:r w:rsidR="005843E5">
          <w:rPr>
            <w:noProof/>
            <w:webHidden/>
          </w:rPr>
          <w:t>10</w:t>
        </w:r>
        <w:r w:rsidRPr="00C619E8">
          <w:rPr>
            <w:noProof/>
            <w:webHidden/>
          </w:rPr>
          <w:fldChar w:fldCharType="end"/>
        </w:r>
      </w:hyperlink>
    </w:p>
    <w:p w14:paraId="653F6CAB" w14:textId="72B88CF2" w:rsidR="00165D80" w:rsidRPr="00C619E8" w:rsidRDefault="00165D80" w:rsidP="00262825">
      <w:pPr>
        <w:pStyle w:val="TOC2"/>
        <w:tabs>
          <w:tab w:val="clear" w:pos="8505"/>
        </w:tabs>
        <w:spacing w:before="0" w:after="0"/>
        <w:ind w:left="567" w:right="260"/>
        <w:rPr>
          <w:rFonts w:asciiTheme="minorHAnsi" w:hAnsiTheme="minorHAnsi"/>
          <w:noProof/>
          <w:kern w:val="2"/>
          <w:lang w:eastAsia="zh-CN" w:bidi="th-TH"/>
          <w14:ligatures w14:val="standardContextual"/>
        </w:rPr>
      </w:pPr>
      <w:hyperlink w:anchor="_Toc235108992" w:history="1">
        <w:r w:rsidRPr="00C619E8">
          <w:rPr>
            <w:rStyle w:val="Hyperlink"/>
            <w:noProof/>
          </w:rPr>
          <w:t>Property Market Charts</w:t>
        </w:r>
        <w:r w:rsidR="002A4D72" w:rsidRPr="00C619E8">
          <w:rPr>
            <w:rStyle w:val="Hyperlink"/>
            <w:noProof/>
          </w:rPr>
          <w:t xml:space="preserve"> ……………………………………………………………</w:t>
        </w:r>
        <w:r w:rsidR="00262825" w:rsidRPr="00262825">
          <w:rPr>
            <w:rStyle w:val="Hyperlink"/>
            <w:noProof/>
          </w:rPr>
          <w:t>………………………………………</w:t>
        </w:r>
        <w:r w:rsidR="00262825">
          <w:rPr>
            <w:rStyle w:val="Hyperlink"/>
            <w:noProof/>
          </w:rPr>
          <w:t>…..</w:t>
        </w:r>
        <w:r w:rsidR="002A4D72" w:rsidRPr="00C619E8">
          <w:rPr>
            <w:rStyle w:val="Hyperlink"/>
            <w:noProof/>
          </w:rPr>
          <w:t>………………………</w:t>
        </w:r>
        <w:r w:rsidRPr="00C619E8">
          <w:rPr>
            <w:noProof/>
            <w:webHidden/>
          </w:rPr>
          <w:tab/>
        </w:r>
        <w:r w:rsidRPr="00C619E8">
          <w:rPr>
            <w:noProof/>
            <w:webHidden/>
          </w:rPr>
          <w:fldChar w:fldCharType="begin"/>
        </w:r>
        <w:r w:rsidRPr="00C619E8">
          <w:rPr>
            <w:noProof/>
            <w:webHidden/>
          </w:rPr>
          <w:instrText xml:space="preserve"> PAGEREF _Toc235108992 \h </w:instrText>
        </w:r>
        <w:r w:rsidRPr="00C619E8">
          <w:rPr>
            <w:noProof/>
            <w:webHidden/>
          </w:rPr>
        </w:r>
        <w:r w:rsidRPr="00C619E8">
          <w:rPr>
            <w:noProof/>
            <w:webHidden/>
          </w:rPr>
          <w:fldChar w:fldCharType="separate"/>
        </w:r>
        <w:r w:rsidR="005843E5">
          <w:rPr>
            <w:noProof/>
            <w:webHidden/>
          </w:rPr>
          <w:t>12</w:t>
        </w:r>
        <w:r w:rsidRPr="00C619E8">
          <w:rPr>
            <w:noProof/>
            <w:webHidden/>
          </w:rPr>
          <w:fldChar w:fldCharType="end"/>
        </w:r>
      </w:hyperlink>
    </w:p>
    <w:p w14:paraId="4D38C5D8" w14:textId="2662DCF0" w:rsidR="00165D80" w:rsidRPr="00C619E8" w:rsidRDefault="00165D80" w:rsidP="00262825">
      <w:pPr>
        <w:pStyle w:val="TOC2"/>
        <w:tabs>
          <w:tab w:val="clear" w:pos="8505"/>
        </w:tabs>
        <w:spacing w:before="0" w:after="0"/>
        <w:ind w:left="567" w:right="260"/>
        <w:rPr>
          <w:rFonts w:asciiTheme="minorHAnsi" w:hAnsiTheme="minorHAnsi"/>
          <w:noProof/>
          <w:kern w:val="2"/>
          <w:lang w:eastAsia="zh-CN" w:bidi="th-TH"/>
          <w14:ligatures w14:val="standardContextual"/>
        </w:rPr>
      </w:pPr>
      <w:hyperlink w:anchor="_Toc235108993" w:history="1">
        <w:r w:rsidRPr="00C619E8">
          <w:rPr>
            <w:rStyle w:val="Hyperlink"/>
            <w:noProof/>
          </w:rPr>
          <w:t>Residential Construction Market Charts</w:t>
        </w:r>
        <w:r w:rsidR="002A4D72" w:rsidRPr="00C619E8">
          <w:rPr>
            <w:rStyle w:val="Hyperlink"/>
            <w:noProof/>
          </w:rPr>
          <w:t xml:space="preserve"> ……………………………………</w:t>
        </w:r>
        <w:r w:rsidR="00262825" w:rsidRPr="00262825">
          <w:rPr>
            <w:rStyle w:val="Hyperlink"/>
            <w:noProof/>
          </w:rPr>
          <w:t>………………………………………</w:t>
        </w:r>
        <w:r w:rsidR="00262825">
          <w:rPr>
            <w:rStyle w:val="Hyperlink"/>
            <w:noProof/>
          </w:rPr>
          <w:t>…..</w:t>
        </w:r>
        <w:r w:rsidR="002A4D72" w:rsidRPr="00C619E8">
          <w:rPr>
            <w:rStyle w:val="Hyperlink"/>
            <w:noProof/>
          </w:rPr>
          <w:t>……………………..</w:t>
        </w:r>
        <w:r w:rsidRPr="00C619E8">
          <w:rPr>
            <w:noProof/>
            <w:webHidden/>
          </w:rPr>
          <w:tab/>
        </w:r>
        <w:r w:rsidRPr="00C619E8">
          <w:rPr>
            <w:noProof/>
            <w:webHidden/>
          </w:rPr>
          <w:fldChar w:fldCharType="begin"/>
        </w:r>
        <w:r w:rsidRPr="00C619E8">
          <w:rPr>
            <w:noProof/>
            <w:webHidden/>
          </w:rPr>
          <w:instrText xml:space="preserve"> PAGEREF _Toc235108993 \h </w:instrText>
        </w:r>
        <w:r w:rsidRPr="00C619E8">
          <w:rPr>
            <w:noProof/>
            <w:webHidden/>
          </w:rPr>
        </w:r>
        <w:r w:rsidRPr="00C619E8">
          <w:rPr>
            <w:noProof/>
            <w:webHidden/>
          </w:rPr>
          <w:fldChar w:fldCharType="separate"/>
        </w:r>
        <w:r w:rsidR="005843E5">
          <w:rPr>
            <w:noProof/>
            <w:webHidden/>
          </w:rPr>
          <w:t>16</w:t>
        </w:r>
        <w:r w:rsidRPr="00C619E8">
          <w:rPr>
            <w:noProof/>
            <w:webHidden/>
          </w:rPr>
          <w:fldChar w:fldCharType="end"/>
        </w:r>
      </w:hyperlink>
    </w:p>
    <w:p w14:paraId="160AD4A0" w14:textId="4DAD0FB5" w:rsidR="00165D80" w:rsidRPr="002A4D72" w:rsidRDefault="00165D80" w:rsidP="00262825">
      <w:pPr>
        <w:pStyle w:val="TOC2"/>
        <w:tabs>
          <w:tab w:val="clear" w:pos="8505"/>
        </w:tabs>
        <w:spacing w:before="0" w:after="0"/>
        <w:ind w:left="567" w:right="260"/>
        <w:rPr>
          <w:rFonts w:asciiTheme="minorHAnsi" w:hAnsiTheme="minorHAnsi"/>
          <w:b/>
          <w:bCs/>
          <w:noProof/>
          <w:kern w:val="2"/>
          <w:sz w:val="28"/>
          <w:szCs w:val="32"/>
          <w:lang w:eastAsia="zh-CN" w:bidi="th-TH"/>
          <w14:ligatures w14:val="standardContextual"/>
        </w:rPr>
      </w:pPr>
      <w:hyperlink w:anchor="_Toc235108994" w:history="1">
        <w:r w:rsidRPr="00C619E8">
          <w:rPr>
            <w:rStyle w:val="Hyperlink"/>
            <w:noProof/>
          </w:rPr>
          <w:t>Macroeconomic charts</w:t>
        </w:r>
        <w:r w:rsidR="002A4D72" w:rsidRPr="00C619E8">
          <w:rPr>
            <w:rStyle w:val="Hyperlink"/>
            <w:noProof/>
          </w:rPr>
          <w:t xml:space="preserve"> ………………………………………………………………</w:t>
        </w:r>
        <w:r w:rsidR="00262825" w:rsidRPr="00262825">
          <w:rPr>
            <w:rStyle w:val="Hyperlink"/>
            <w:noProof/>
          </w:rPr>
          <w:t>………………………………………</w:t>
        </w:r>
        <w:r w:rsidR="00262825">
          <w:rPr>
            <w:rStyle w:val="Hyperlink"/>
            <w:noProof/>
          </w:rPr>
          <w:t>…..</w:t>
        </w:r>
        <w:r w:rsidR="002A4D72" w:rsidRPr="00C619E8">
          <w:rPr>
            <w:rStyle w:val="Hyperlink"/>
            <w:noProof/>
          </w:rPr>
          <w:t>…………………….</w:t>
        </w:r>
        <w:r w:rsidRPr="00C619E8">
          <w:rPr>
            <w:noProof/>
            <w:webHidden/>
          </w:rPr>
          <w:tab/>
        </w:r>
        <w:r w:rsidRPr="00C619E8">
          <w:rPr>
            <w:noProof/>
            <w:webHidden/>
          </w:rPr>
          <w:fldChar w:fldCharType="begin"/>
        </w:r>
        <w:r w:rsidRPr="00C619E8">
          <w:rPr>
            <w:noProof/>
            <w:webHidden/>
          </w:rPr>
          <w:instrText xml:space="preserve"> PAGEREF _Toc235108994 \h </w:instrText>
        </w:r>
        <w:r w:rsidRPr="00C619E8">
          <w:rPr>
            <w:noProof/>
            <w:webHidden/>
          </w:rPr>
        </w:r>
        <w:r w:rsidRPr="00C619E8">
          <w:rPr>
            <w:noProof/>
            <w:webHidden/>
          </w:rPr>
          <w:fldChar w:fldCharType="separate"/>
        </w:r>
        <w:r w:rsidR="005843E5">
          <w:rPr>
            <w:noProof/>
            <w:webHidden/>
          </w:rPr>
          <w:t>20</w:t>
        </w:r>
        <w:r w:rsidRPr="00C619E8">
          <w:rPr>
            <w:noProof/>
            <w:webHidden/>
          </w:rPr>
          <w:fldChar w:fldCharType="end"/>
        </w:r>
      </w:hyperlink>
    </w:p>
    <w:p w14:paraId="38D5F7FD" w14:textId="09399ED0" w:rsidR="00796A6F" w:rsidRPr="00554B30" w:rsidRDefault="00775F57" w:rsidP="00E307E4">
      <w:pPr>
        <w:pStyle w:val="Glossary"/>
        <w:spacing w:before="0" w:line="240" w:lineRule="auto"/>
        <w:ind w:left="284"/>
      </w:pPr>
      <w:r w:rsidRPr="002A4D72">
        <w:rPr>
          <w:b/>
          <w:bCs/>
          <w:color w:val="0092CF"/>
          <w:sz w:val="24"/>
          <w:szCs w:val="24"/>
        </w:rPr>
        <w:fldChar w:fldCharType="end"/>
      </w:r>
      <w:r w:rsidR="00796A6F" w:rsidRPr="00554B30">
        <w:br w:type="page"/>
      </w:r>
    </w:p>
    <w:p w14:paraId="314604FE" w14:textId="77777777" w:rsidR="00636D46" w:rsidRDefault="00636D46" w:rsidP="00636D46">
      <w:pPr>
        <w:pStyle w:val="Heading1"/>
      </w:pPr>
      <w:bookmarkStart w:id="12" w:name="_Toc235108977"/>
      <w:r>
        <w:lastRenderedPageBreak/>
        <w:t>Key insights</w:t>
      </w:r>
      <w:bookmarkEnd w:id="12"/>
    </w:p>
    <w:p w14:paraId="741F5A44" w14:textId="77777777" w:rsidR="00636D46" w:rsidRPr="009B5D27" w:rsidRDefault="00636D46" w:rsidP="00636D46">
      <w:pPr>
        <w:pStyle w:val="Bullet"/>
        <w:numPr>
          <w:ilvl w:val="0"/>
          <w:numId w:val="0"/>
        </w:numPr>
        <w:ind w:left="397" w:hanging="397"/>
      </w:pPr>
    </w:p>
    <w:p w14:paraId="5629A589" w14:textId="6B4DBA4D" w:rsidR="00D92EAE" w:rsidRPr="00D92EAE" w:rsidRDefault="00E37048" w:rsidP="00D92EAE">
      <w:pPr>
        <w:pStyle w:val="Bullet"/>
        <w:numPr>
          <w:ilvl w:val="0"/>
          <w:numId w:val="0"/>
        </w:numPr>
        <w:ind w:left="397" w:hanging="397"/>
        <w:rPr>
          <w:lang w:eastAsia="zh-CN" w:bidi="th-TH"/>
        </w:rPr>
      </w:pPr>
      <w:r w:rsidRPr="00591B3D">
        <w:rPr>
          <w:b/>
          <w:bCs/>
          <w:lang w:eastAsia="zh-CN" w:bidi="th-TH"/>
        </w:rPr>
        <w:t>The economy is recovering gradually, but momentum remains fragile</w:t>
      </w:r>
      <w:r w:rsidR="00681C41">
        <w:rPr>
          <w:b/>
          <w:bCs/>
          <w:lang w:eastAsia="zh-CN" w:bidi="th-TH"/>
        </w:rPr>
        <w:t>.</w:t>
      </w:r>
    </w:p>
    <w:p w14:paraId="43BF1F89" w14:textId="77777777" w:rsidR="00D92EAE" w:rsidRDefault="00E37048" w:rsidP="00D92EAE">
      <w:pPr>
        <w:pStyle w:val="Bullet"/>
        <w:numPr>
          <w:ilvl w:val="1"/>
          <w:numId w:val="44"/>
        </w:numPr>
        <w:ind w:left="851"/>
        <w:rPr>
          <w:lang w:eastAsia="zh-CN" w:bidi="th-TH"/>
        </w:rPr>
      </w:pPr>
      <w:r w:rsidRPr="00E37048">
        <w:rPr>
          <w:lang w:eastAsia="zh-CN" w:bidi="th-TH"/>
        </w:rPr>
        <w:t>Upward revisions to late-2025 GDP suggest the economy entered 2026 in slightly better shape than previously understood, with lower interest rates beginning to support demand.</w:t>
      </w:r>
    </w:p>
    <w:p w14:paraId="184853C7" w14:textId="4DD5EEB5" w:rsidR="00D92EAE" w:rsidRDefault="000D3DCC" w:rsidP="00D92EAE">
      <w:pPr>
        <w:pStyle w:val="Bullet"/>
        <w:numPr>
          <w:ilvl w:val="1"/>
          <w:numId w:val="44"/>
        </w:numPr>
        <w:ind w:left="851"/>
        <w:rPr>
          <w:lang w:eastAsia="zh-CN" w:bidi="th-TH"/>
        </w:rPr>
      </w:pPr>
      <w:r>
        <w:rPr>
          <w:lang w:eastAsia="zh-CN" w:bidi="th-TH"/>
        </w:rPr>
        <w:t>T</w:t>
      </w:r>
      <w:r w:rsidR="00E37048" w:rsidRPr="00E37048">
        <w:rPr>
          <w:lang w:eastAsia="zh-CN" w:bidi="th-TH"/>
        </w:rPr>
        <w:t xml:space="preserve">he Middle East conflict and associated rise in oil prices are expected to weigh on June quarter </w:t>
      </w:r>
      <w:r w:rsidR="00E37048">
        <w:rPr>
          <w:lang w:eastAsia="zh-CN" w:bidi="th-TH"/>
        </w:rPr>
        <w:t>GDP</w:t>
      </w:r>
      <w:r w:rsidR="00E37048" w:rsidRPr="00E37048">
        <w:rPr>
          <w:lang w:eastAsia="zh-CN" w:bidi="th-TH"/>
        </w:rPr>
        <w:t xml:space="preserve"> and add </w:t>
      </w:r>
      <w:r w:rsidR="00E37048">
        <w:rPr>
          <w:lang w:eastAsia="zh-CN" w:bidi="th-TH"/>
        </w:rPr>
        <w:t xml:space="preserve">further </w:t>
      </w:r>
      <w:r w:rsidR="00E37048" w:rsidRPr="00E37048">
        <w:rPr>
          <w:lang w:eastAsia="zh-CN" w:bidi="th-TH"/>
        </w:rPr>
        <w:t xml:space="preserve">to inflation pressures. </w:t>
      </w:r>
    </w:p>
    <w:p w14:paraId="466DCE2E" w14:textId="548BF524" w:rsidR="00E37048" w:rsidRPr="00D54691" w:rsidRDefault="00E37048" w:rsidP="00D92EAE">
      <w:pPr>
        <w:pStyle w:val="Bullet"/>
        <w:numPr>
          <w:ilvl w:val="1"/>
          <w:numId w:val="44"/>
        </w:numPr>
        <w:ind w:left="851"/>
        <w:rPr>
          <w:lang w:eastAsia="zh-CN" w:bidi="th-TH"/>
        </w:rPr>
      </w:pPr>
      <w:r w:rsidRPr="00E37048">
        <w:rPr>
          <w:lang w:eastAsia="zh-CN" w:bidi="th-TH"/>
        </w:rPr>
        <w:t>Business confidence ha</w:t>
      </w:r>
      <w:r w:rsidR="00BD74B4">
        <w:rPr>
          <w:lang w:eastAsia="zh-CN" w:bidi="th-TH"/>
        </w:rPr>
        <w:t>d</w:t>
      </w:r>
      <w:r w:rsidRPr="00E37048">
        <w:rPr>
          <w:lang w:eastAsia="zh-CN" w:bidi="th-TH"/>
        </w:rPr>
        <w:t xml:space="preserve"> improved </w:t>
      </w:r>
      <w:r w:rsidR="00BD74B4">
        <w:rPr>
          <w:lang w:eastAsia="zh-CN" w:bidi="th-TH"/>
        </w:rPr>
        <w:t>after</w:t>
      </w:r>
      <w:r w:rsidRPr="00E37048">
        <w:rPr>
          <w:lang w:eastAsia="zh-CN" w:bidi="th-TH"/>
        </w:rPr>
        <w:t xml:space="preserve"> the initial shock, but the recovery remains vulnerable to global uncertainty and further pressure on energy prices.</w:t>
      </w:r>
    </w:p>
    <w:p w14:paraId="79F88FBA" w14:textId="009EE898" w:rsidR="00287C7E" w:rsidRDefault="00190D0D" w:rsidP="00287C7E">
      <w:pPr>
        <w:pStyle w:val="Bullet"/>
        <w:numPr>
          <w:ilvl w:val="0"/>
          <w:numId w:val="0"/>
        </w:numPr>
        <w:ind w:left="397" w:hanging="397"/>
        <w:rPr>
          <w:lang w:eastAsia="zh-CN" w:bidi="th-TH"/>
        </w:rPr>
      </w:pPr>
      <w:r w:rsidRPr="00190D0D">
        <w:rPr>
          <w:b/>
          <w:bCs/>
          <w:lang w:eastAsia="zh-CN" w:bidi="th-TH"/>
        </w:rPr>
        <w:t>Housing market conditions remain subdued, keeping national house prices broadly flat</w:t>
      </w:r>
      <w:r w:rsidR="00681C41">
        <w:rPr>
          <w:b/>
          <w:bCs/>
          <w:lang w:eastAsia="zh-CN" w:bidi="th-TH"/>
        </w:rPr>
        <w:t>.</w:t>
      </w:r>
      <w:r w:rsidRPr="00190D0D">
        <w:rPr>
          <w:lang w:eastAsia="zh-CN" w:bidi="th-TH"/>
        </w:rPr>
        <w:t xml:space="preserve"> </w:t>
      </w:r>
    </w:p>
    <w:p w14:paraId="01BEBD56" w14:textId="3BF9374A" w:rsidR="00287C7E" w:rsidRDefault="00190D0D" w:rsidP="00287C7E">
      <w:pPr>
        <w:pStyle w:val="Bullet"/>
        <w:numPr>
          <w:ilvl w:val="1"/>
          <w:numId w:val="44"/>
        </w:numPr>
        <w:ind w:left="851"/>
        <w:rPr>
          <w:lang w:eastAsia="zh-CN" w:bidi="th-TH"/>
        </w:rPr>
      </w:pPr>
      <w:r w:rsidRPr="00190D0D">
        <w:rPr>
          <w:lang w:eastAsia="zh-CN" w:bidi="th-TH"/>
        </w:rPr>
        <w:t xml:space="preserve">Lower </w:t>
      </w:r>
      <w:r w:rsidR="00D54691" w:rsidRPr="00D54691">
        <w:rPr>
          <w:lang w:eastAsia="zh-CN" w:bidi="th-TH"/>
        </w:rPr>
        <w:t xml:space="preserve">mortgage rates </w:t>
      </w:r>
      <w:r w:rsidRPr="00190D0D">
        <w:rPr>
          <w:lang w:eastAsia="zh-CN" w:bidi="th-TH"/>
        </w:rPr>
        <w:t xml:space="preserve">and improved affordability </w:t>
      </w:r>
      <w:r w:rsidR="00D54691" w:rsidRPr="00D54691">
        <w:rPr>
          <w:lang w:eastAsia="zh-CN" w:bidi="th-TH"/>
        </w:rPr>
        <w:t xml:space="preserve">have supported </w:t>
      </w:r>
      <w:r w:rsidRPr="00190D0D">
        <w:rPr>
          <w:lang w:eastAsia="zh-CN" w:bidi="th-TH"/>
        </w:rPr>
        <w:t xml:space="preserve">some </w:t>
      </w:r>
      <w:r w:rsidR="00D54691" w:rsidRPr="00D54691">
        <w:rPr>
          <w:lang w:eastAsia="zh-CN" w:bidi="th-TH"/>
        </w:rPr>
        <w:t xml:space="preserve">buyer activity, particularly among first-home buyers, but </w:t>
      </w:r>
      <w:r w:rsidRPr="00190D0D">
        <w:rPr>
          <w:lang w:eastAsia="zh-CN" w:bidi="th-TH"/>
        </w:rPr>
        <w:t xml:space="preserve">this has not been enough to generate stronger market-wide </w:t>
      </w:r>
      <w:r>
        <w:rPr>
          <w:lang w:eastAsia="zh-CN" w:bidi="th-TH"/>
        </w:rPr>
        <w:t>activity</w:t>
      </w:r>
      <w:r w:rsidRPr="00190D0D">
        <w:rPr>
          <w:lang w:eastAsia="zh-CN" w:bidi="th-TH"/>
        </w:rPr>
        <w:t>.</w:t>
      </w:r>
    </w:p>
    <w:p w14:paraId="70938394" w14:textId="0E5B5BA1" w:rsidR="00287C7E" w:rsidRDefault="00190D0D" w:rsidP="00287C7E">
      <w:pPr>
        <w:pStyle w:val="Bullet"/>
        <w:numPr>
          <w:ilvl w:val="1"/>
          <w:numId w:val="44"/>
        </w:numPr>
        <w:ind w:left="851"/>
        <w:rPr>
          <w:lang w:eastAsia="zh-CN" w:bidi="th-TH"/>
        </w:rPr>
      </w:pPr>
      <w:r w:rsidRPr="00190D0D">
        <w:rPr>
          <w:lang w:eastAsia="zh-CN" w:bidi="th-TH"/>
        </w:rPr>
        <w:t xml:space="preserve">Elevated listings, slower sales, weak investor activity and softer labour market conditions continue to </w:t>
      </w:r>
      <w:r>
        <w:rPr>
          <w:lang w:eastAsia="zh-CN" w:bidi="th-TH"/>
        </w:rPr>
        <w:t>subdue</w:t>
      </w:r>
      <w:r w:rsidRPr="00190D0D">
        <w:rPr>
          <w:lang w:eastAsia="zh-CN" w:bidi="th-TH"/>
        </w:rPr>
        <w:t xml:space="preserve"> </w:t>
      </w:r>
      <w:r w:rsidR="00D54691" w:rsidRPr="00D54691">
        <w:rPr>
          <w:lang w:eastAsia="zh-CN" w:bidi="th-TH"/>
        </w:rPr>
        <w:t>demand</w:t>
      </w:r>
      <w:r w:rsidR="00001EAC">
        <w:rPr>
          <w:lang w:eastAsia="zh-CN" w:bidi="th-TH"/>
        </w:rPr>
        <w:t xml:space="preserve"> </w:t>
      </w:r>
      <w:r w:rsidR="00001EAC" w:rsidRPr="00001EAC">
        <w:rPr>
          <w:lang w:eastAsia="zh-CN" w:bidi="th-TH"/>
        </w:rPr>
        <w:t>in the short term</w:t>
      </w:r>
      <w:r w:rsidRPr="00190D0D">
        <w:rPr>
          <w:lang w:eastAsia="zh-CN" w:bidi="th-TH"/>
        </w:rPr>
        <w:t xml:space="preserve">. </w:t>
      </w:r>
    </w:p>
    <w:p w14:paraId="7D6F5851" w14:textId="0D722F76" w:rsidR="00D54691" w:rsidRPr="00D54691" w:rsidRDefault="00190D0D" w:rsidP="00287C7E">
      <w:pPr>
        <w:pStyle w:val="Bullet"/>
        <w:numPr>
          <w:ilvl w:val="1"/>
          <w:numId w:val="44"/>
        </w:numPr>
        <w:ind w:left="851"/>
        <w:rPr>
          <w:lang w:eastAsia="zh-CN" w:bidi="th-TH"/>
        </w:rPr>
      </w:pPr>
      <w:r w:rsidRPr="00190D0D">
        <w:rPr>
          <w:lang w:eastAsia="zh-CN" w:bidi="th-TH"/>
        </w:rPr>
        <w:t>Regional trends also differ, with</w:t>
      </w:r>
      <w:r w:rsidR="00D54691" w:rsidRPr="00D54691">
        <w:rPr>
          <w:lang w:eastAsia="zh-CN" w:bidi="th-TH"/>
        </w:rPr>
        <w:t xml:space="preserve"> prices generally </w:t>
      </w:r>
      <w:r w:rsidRPr="00190D0D">
        <w:rPr>
          <w:lang w:eastAsia="zh-CN" w:bidi="th-TH"/>
        </w:rPr>
        <w:t>softer</w:t>
      </w:r>
      <w:r w:rsidR="00D54691" w:rsidRPr="00D54691">
        <w:rPr>
          <w:lang w:eastAsia="zh-CN" w:bidi="th-TH"/>
        </w:rPr>
        <w:t xml:space="preserve"> across much of the North Island while </w:t>
      </w:r>
      <w:r w:rsidRPr="00190D0D">
        <w:rPr>
          <w:lang w:eastAsia="zh-CN" w:bidi="th-TH"/>
        </w:rPr>
        <w:t xml:space="preserve">parts of </w:t>
      </w:r>
      <w:r w:rsidR="00D54691" w:rsidRPr="00D54691">
        <w:rPr>
          <w:lang w:eastAsia="zh-CN" w:bidi="th-TH"/>
        </w:rPr>
        <w:t xml:space="preserve">the South Island </w:t>
      </w:r>
      <w:r w:rsidRPr="00190D0D">
        <w:rPr>
          <w:lang w:eastAsia="zh-CN" w:bidi="th-TH"/>
        </w:rPr>
        <w:t>continue</w:t>
      </w:r>
      <w:r w:rsidR="00D54691" w:rsidRPr="00D54691">
        <w:rPr>
          <w:lang w:eastAsia="zh-CN" w:bidi="th-TH"/>
        </w:rPr>
        <w:t xml:space="preserve"> to </w:t>
      </w:r>
      <w:r w:rsidRPr="00190D0D">
        <w:rPr>
          <w:lang w:eastAsia="zh-CN" w:bidi="th-TH"/>
        </w:rPr>
        <w:t>record modest growth</w:t>
      </w:r>
      <w:r w:rsidR="00D54691" w:rsidRPr="00D54691">
        <w:rPr>
          <w:lang w:eastAsia="zh-CN" w:bidi="th-TH"/>
        </w:rPr>
        <w:t>.</w:t>
      </w:r>
    </w:p>
    <w:p w14:paraId="0020FFB4" w14:textId="759C1A03" w:rsidR="00330907" w:rsidRPr="007F210E" w:rsidRDefault="00D54691" w:rsidP="00330907">
      <w:pPr>
        <w:pStyle w:val="Bullet"/>
        <w:numPr>
          <w:ilvl w:val="0"/>
          <w:numId w:val="0"/>
        </w:numPr>
        <w:ind w:left="397" w:hanging="397"/>
        <w:rPr>
          <w:b/>
          <w:bCs/>
          <w:lang w:eastAsia="zh-CN" w:bidi="th-TH"/>
        </w:rPr>
      </w:pPr>
      <w:r w:rsidRPr="00D54691">
        <w:rPr>
          <w:lang w:eastAsia="zh-CN" w:bidi="th-TH"/>
        </w:rPr>
        <w:t xml:space="preserve"> </w:t>
      </w:r>
      <w:r w:rsidRPr="00A96B47">
        <w:rPr>
          <w:b/>
          <w:bCs/>
          <w:lang w:eastAsia="zh-CN" w:bidi="th-TH"/>
        </w:rPr>
        <w:t>Rental inflation has largely stabilised</w:t>
      </w:r>
      <w:r w:rsidR="007F210E">
        <w:rPr>
          <w:lang w:eastAsia="zh-CN" w:bidi="th-TH"/>
        </w:rPr>
        <w:t xml:space="preserve"> </w:t>
      </w:r>
      <w:r w:rsidR="007F210E" w:rsidRPr="007F210E">
        <w:rPr>
          <w:b/>
          <w:bCs/>
          <w:lang w:eastAsia="zh-CN" w:bidi="th-TH"/>
        </w:rPr>
        <w:t>and further improvement to rental affordability may be limited</w:t>
      </w:r>
      <w:r w:rsidR="00681C41">
        <w:rPr>
          <w:b/>
          <w:bCs/>
          <w:lang w:eastAsia="zh-CN" w:bidi="th-TH"/>
        </w:rPr>
        <w:t>.</w:t>
      </w:r>
      <w:r w:rsidRPr="007F210E">
        <w:rPr>
          <w:b/>
          <w:bCs/>
          <w:lang w:eastAsia="zh-CN" w:bidi="th-TH"/>
        </w:rPr>
        <w:t xml:space="preserve"> </w:t>
      </w:r>
    </w:p>
    <w:p w14:paraId="4124C620" w14:textId="77777777" w:rsidR="0073194C" w:rsidRPr="00395C2B" w:rsidRDefault="0073194C" w:rsidP="00395C2B">
      <w:pPr>
        <w:pStyle w:val="Bullet"/>
        <w:numPr>
          <w:ilvl w:val="1"/>
          <w:numId w:val="44"/>
        </w:numPr>
        <w:ind w:left="851"/>
        <w:rPr>
          <w:lang w:eastAsia="zh-CN" w:bidi="th-TH"/>
        </w:rPr>
      </w:pPr>
      <w:r>
        <w:rPr>
          <w:lang w:bidi="th-TH"/>
        </w:rPr>
        <w:t>Rents for new tenancies have returned to modest growth after a period of decline. With rents no longer falling and wage growth expected to remain low, further affordability gains are likely to be limited.</w:t>
      </w:r>
    </w:p>
    <w:p w14:paraId="617E66D3" w14:textId="1D1E40B3" w:rsidR="00330907" w:rsidRDefault="00790FA2" w:rsidP="00330907">
      <w:pPr>
        <w:pStyle w:val="Bullet"/>
        <w:numPr>
          <w:ilvl w:val="1"/>
          <w:numId w:val="44"/>
        </w:numPr>
        <w:ind w:left="851"/>
        <w:rPr>
          <w:lang w:eastAsia="zh-CN" w:bidi="th-TH"/>
        </w:rPr>
      </w:pPr>
      <w:r w:rsidRPr="00790FA2">
        <w:rPr>
          <w:lang w:eastAsia="zh-CN" w:bidi="th-TH"/>
        </w:rPr>
        <w:t>Regional differences are narrowing, moderate rent growth continu</w:t>
      </w:r>
      <w:r w:rsidR="00823C21">
        <w:rPr>
          <w:lang w:eastAsia="zh-CN" w:bidi="th-TH"/>
        </w:rPr>
        <w:t>es</w:t>
      </w:r>
      <w:r w:rsidRPr="00790FA2">
        <w:rPr>
          <w:lang w:eastAsia="zh-CN" w:bidi="th-TH"/>
        </w:rPr>
        <w:t xml:space="preserve"> in the South Island while North Island regions are beginning to see rents for new tenancies increase</w:t>
      </w:r>
      <w:r w:rsidR="002845D9">
        <w:rPr>
          <w:lang w:eastAsia="zh-CN" w:bidi="th-TH"/>
        </w:rPr>
        <w:t>.</w:t>
      </w:r>
      <w:r>
        <w:rPr>
          <w:lang w:eastAsia="zh-CN" w:bidi="th-TH"/>
        </w:rPr>
        <w:t xml:space="preserve"> </w:t>
      </w:r>
    </w:p>
    <w:p w14:paraId="339C0527" w14:textId="5D60528F" w:rsidR="00D54691" w:rsidRPr="00D54691" w:rsidRDefault="00D54691" w:rsidP="00330907">
      <w:pPr>
        <w:pStyle w:val="Bullet"/>
        <w:numPr>
          <w:ilvl w:val="1"/>
          <w:numId w:val="44"/>
        </w:numPr>
        <w:ind w:left="851"/>
        <w:rPr>
          <w:lang w:eastAsia="zh-CN" w:bidi="th-TH"/>
        </w:rPr>
      </w:pPr>
      <w:r w:rsidRPr="00D54691">
        <w:rPr>
          <w:lang w:eastAsia="zh-CN" w:bidi="th-TH"/>
        </w:rPr>
        <w:t xml:space="preserve">Overall, rental </w:t>
      </w:r>
      <w:r w:rsidR="00667536">
        <w:rPr>
          <w:lang w:eastAsia="zh-CN" w:bidi="th-TH"/>
        </w:rPr>
        <w:t xml:space="preserve">price </w:t>
      </w:r>
      <w:r w:rsidRPr="00D54691">
        <w:rPr>
          <w:lang w:eastAsia="zh-CN" w:bidi="th-TH"/>
        </w:rPr>
        <w:t>inflation is expected to remain low through the second half of 2026, although pressures</w:t>
      </w:r>
      <w:r w:rsidR="0006632F">
        <w:rPr>
          <w:lang w:eastAsia="zh-CN" w:bidi="th-TH"/>
        </w:rPr>
        <w:t xml:space="preserve"> in </w:t>
      </w:r>
      <w:r w:rsidR="000C48A3">
        <w:rPr>
          <w:lang w:eastAsia="zh-CN" w:bidi="th-TH"/>
        </w:rPr>
        <w:t xml:space="preserve">some </w:t>
      </w:r>
      <w:r w:rsidR="0006632F">
        <w:rPr>
          <w:lang w:eastAsia="zh-CN" w:bidi="th-TH"/>
        </w:rPr>
        <w:t>regions</w:t>
      </w:r>
      <w:r w:rsidRPr="00D54691">
        <w:rPr>
          <w:lang w:eastAsia="zh-CN" w:bidi="th-TH"/>
        </w:rPr>
        <w:t xml:space="preserve"> may </w:t>
      </w:r>
      <w:r w:rsidR="004C7819" w:rsidRPr="00D54691">
        <w:rPr>
          <w:lang w:eastAsia="zh-CN" w:bidi="th-TH"/>
        </w:rPr>
        <w:t>persist.</w:t>
      </w:r>
    </w:p>
    <w:p w14:paraId="3D4C3C41" w14:textId="77777777" w:rsidR="007F210E" w:rsidRDefault="00636D46" w:rsidP="00B0555B">
      <w:pPr>
        <w:pStyle w:val="Bullet"/>
        <w:numPr>
          <w:ilvl w:val="0"/>
          <w:numId w:val="0"/>
        </w:numPr>
        <w:rPr>
          <w:lang w:eastAsia="zh-CN" w:bidi="th-TH"/>
        </w:rPr>
      </w:pPr>
      <w:r w:rsidRPr="00876308">
        <w:rPr>
          <w:b/>
          <w:bCs/>
          <w:lang w:eastAsia="zh-CN" w:bidi="th-TH"/>
        </w:rPr>
        <w:t xml:space="preserve">The construction sector has yet to show the same signs of </w:t>
      </w:r>
      <w:r w:rsidR="00211DBB">
        <w:rPr>
          <w:b/>
          <w:bCs/>
          <w:lang w:eastAsia="zh-CN" w:bidi="th-TH"/>
        </w:rPr>
        <w:t>recovery</w:t>
      </w:r>
      <w:r w:rsidRPr="00876308">
        <w:rPr>
          <w:b/>
          <w:bCs/>
          <w:lang w:eastAsia="zh-CN" w:bidi="th-TH"/>
        </w:rPr>
        <w:t xml:space="preserve"> seen in the </w:t>
      </w:r>
      <w:r w:rsidR="00372A4F">
        <w:rPr>
          <w:b/>
          <w:bCs/>
          <w:lang w:eastAsia="zh-CN" w:bidi="th-TH"/>
        </w:rPr>
        <w:t xml:space="preserve">wider </w:t>
      </w:r>
      <w:r w:rsidRPr="00876308">
        <w:rPr>
          <w:b/>
          <w:bCs/>
          <w:lang w:eastAsia="zh-CN" w:bidi="th-TH"/>
        </w:rPr>
        <w:t>economy</w:t>
      </w:r>
      <w:r>
        <w:rPr>
          <w:lang w:eastAsia="zh-CN" w:bidi="th-TH"/>
        </w:rPr>
        <w:t>.</w:t>
      </w:r>
      <w:r w:rsidR="003B6C49">
        <w:rPr>
          <w:lang w:eastAsia="zh-CN" w:bidi="th-TH"/>
        </w:rPr>
        <w:t xml:space="preserve"> </w:t>
      </w:r>
      <w:r w:rsidR="003B6C49" w:rsidRPr="00663621">
        <w:rPr>
          <w:b/>
          <w:bCs/>
          <w:lang w:eastAsia="zh-CN" w:bidi="th-TH"/>
        </w:rPr>
        <w:t>Construction intentions are improving, but actual building activity remains weak.</w:t>
      </w:r>
      <w:r w:rsidR="00D54691" w:rsidRPr="00D54691">
        <w:rPr>
          <w:lang w:eastAsia="zh-CN" w:bidi="th-TH"/>
        </w:rPr>
        <w:t xml:space="preserve"> </w:t>
      </w:r>
    </w:p>
    <w:p w14:paraId="11AE7790" w14:textId="77777777" w:rsidR="001548F3" w:rsidRDefault="00663621" w:rsidP="00B0555B">
      <w:pPr>
        <w:pStyle w:val="Bullet"/>
        <w:numPr>
          <w:ilvl w:val="1"/>
          <w:numId w:val="44"/>
        </w:numPr>
        <w:ind w:left="851"/>
        <w:rPr>
          <w:lang w:eastAsia="zh-CN" w:bidi="th-TH"/>
        </w:rPr>
      </w:pPr>
      <w:r w:rsidRPr="00663621">
        <w:rPr>
          <w:lang w:eastAsia="zh-CN" w:bidi="th-TH"/>
        </w:rPr>
        <w:t xml:space="preserve">Dwelling consents and residential development lending have increased, suggesting developers are preparing for future projects and supply capacity is being maintained. </w:t>
      </w:r>
    </w:p>
    <w:p w14:paraId="79E576C5" w14:textId="77777777" w:rsidR="00B0555B" w:rsidRDefault="00663621" w:rsidP="00B0555B">
      <w:pPr>
        <w:pStyle w:val="Bullet"/>
        <w:numPr>
          <w:ilvl w:val="1"/>
          <w:numId w:val="44"/>
        </w:numPr>
        <w:ind w:left="851"/>
        <w:rPr>
          <w:lang w:eastAsia="zh-CN" w:bidi="th-TH"/>
        </w:rPr>
      </w:pPr>
      <w:r w:rsidRPr="00663621">
        <w:rPr>
          <w:lang w:eastAsia="zh-CN" w:bidi="th-TH"/>
        </w:rPr>
        <w:t>However, subdued housing demand, elevated unsold stock and ongoing cost pressures are delaying the conversion of consented projects into construction activity.</w:t>
      </w:r>
    </w:p>
    <w:p w14:paraId="61C05961" w14:textId="5FDB5FDB" w:rsidR="009B5D27" w:rsidRPr="00663621" w:rsidRDefault="00663621" w:rsidP="00B0555B">
      <w:pPr>
        <w:pStyle w:val="Bullet"/>
        <w:numPr>
          <w:ilvl w:val="1"/>
          <w:numId w:val="44"/>
        </w:numPr>
        <w:ind w:left="851"/>
        <w:rPr>
          <w:lang w:eastAsia="zh-CN" w:bidi="th-TH"/>
        </w:rPr>
      </w:pPr>
      <w:r w:rsidRPr="00663621">
        <w:rPr>
          <w:lang w:eastAsia="zh-CN" w:bidi="th-TH"/>
        </w:rPr>
        <w:t>Until sales conditions improve and existing inventory is absorbed, the recovery in residential construction is likely to remain gradual.</w:t>
      </w:r>
      <w:r w:rsidR="009B5D27">
        <w:br w:type="page"/>
      </w:r>
    </w:p>
    <w:p w14:paraId="65DB2707" w14:textId="69A8004C" w:rsidR="008A2FF1" w:rsidRDefault="009B5D27" w:rsidP="009B5D27">
      <w:pPr>
        <w:pStyle w:val="Heading1"/>
      </w:pPr>
      <w:bookmarkStart w:id="13" w:name="_Toc235108978"/>
      <w:r>
        <w:lastRenderedPageBreak/>
        <w:t>The economy</w:t>
      </w:r>
      <w:bookmarkEnd w:id="13"/>
    </w:p>
    <w:p w14:paraId="17C563C1" w14:textId="31D35F4F" w:rsidR="001442A9" w:rsidRPr="001442A9" w:rsidRDefault="001442A9" w:rsidP="00143CA9">
      <w:pPr>
        <w:pStyle w:val="Heading2"/>
      </w:pPr>
      <w:bookmarkStart w:id="14" w:name="_Toc234687964"/>
      <w:bookmarkStart w:id="15" w:name="_Toc234688188"/>
      <w:bookmarkStart w:id="16" w:name="_Toc235108979"/>
      <w:r w:rsidRPr="00143CA9">
        <w:t>Situation</w:t>
      </w:r>
      <w:bookmarkEnd w:id="14"/>
      <w:bookmarkEnd w:id="15"/>
      <w:bookmarkEnd w:id="16"/>
    </w:p>
    <w:p w14:paraId="678A1E95" w14:textId="4ADBF6B7" w:rsidR="000A09CF" w:rsidRPr="00CA1666" w:rsidRDefault="000A09CF" w:rsidP="000A09CF">
      <w:pPr>
        <w:spacing w:after="0"/>
        <w:rPr>
          <w:rFonts w:cstheme="minorHAnsi"/>
          <w:b/>
          <w:bCs/>
          <w:color w:val="000000" w:themeColor="text1"/>
        </w:rPr>
      </w:pPr>
      <w:r w:rsidRPr="00CA1666">
        <w:rPr>
          <w:rFonts w:cstheme="minorHAnsi"/>
          <w:b/>
          <w:bCs/>
          <w:color w:val="000000" w:themeColor="text1"/>
        </w:rPr>
        <w:t xml:space="preserve">Recovery </w:t>
      </w:r>
      <w:r w:rsidR="004E11C3">
        <w:rPr>
          <w:rFonts w:cstheme="minorHAnsi"/>
          <w:b/>
          <w:bCs/>
          <w:color w:val="000000" w:themeColor="text1"/>
        </w:rPr>
        <w:t>was gaining pace</w:t>
      </w:r>
      <w:r w:rsidRPr="00CA1666">
        <w:rPr>
          <w:rFonts w:cstheme="minorHAnsi"/>
          <w:b/>
          <w:bCs/>
          <w:color w:val="000000" w:themeColor="text1"/>
        </w:rPr>
        <w:t xml:space="preserve"> before the oil shock</w:t>
      </w:r>
    </w:p>
    <w:p w14:paraId="248BC63B" w14:textId="5C843BE4" w:rsidR="00DE1A75" w:rsidRPr="00CA1666" w:rsidRDefault="00DE1A75" w:rsidP="00152FB2">
      <w:pPr>
        <w:spacing w:after="0"/>
        <w:jc w:val="left"/>
        <w:rPr>
          <w:rFonts w:cstheme="minorHAnsi"/>
          <w:color w:val="000000" w:themeColor="text1"/>
        </w:rPr>
      </w:pPr>
      <w:r w:rsidRPr="00CA1666">
        <w:rPr>
          <w:rFonts w:cstheme="minorHAnsi"/>
          <w:color w:val="000000" w:themeColor="text1"/>
        </w:rPr>
        <w:t xml:space="preserve">The economy </w:t>
      </w:r>
      <w:r>
        <w:rPr>
          <w:rFonts w:cstheme="minorHAnsi"/>
          <w:color w:val="000000" w:themeColor="text1"/>
        </w:rPr>
        <w:t xml:space="preserve">is growing again but growth remains weak. GDP rose </w:t>
      </w:r>
      <w:r w:rsidRPr="00CA1666">
        <w:rPr>
          <w:rFonts w:cstheme="minorHAnsi"/>
          <w:color w:val="000000" w:themeColor="text1"/>
        </w:rPr>
        <w:t>0.8%</w:t>
      </w:r>
      <w:r>
        <w:rPr>
          <w:rFonts w:cstheme="minorHAnsi"/>
          <w:color w:val="000000" w:themeColor="text1"/>
        </w:rPr>
        <w:t xml:space="preserve"> in the March 2026 quarter, with growth in the </w:t>
      </w:r>
      <w:r w:rsidRPr="00CA1666">
        <w:rPr>
          <w:rFonts w:cstheme="minorHAnsi"/>
          <w:color w:val="000000" w:themeColor="text1"/>
        </w:rPr>
        <w:t>December 2025</w:t>
      </w:r>
      <w:r>
        <w:rPr>
          <w:rFonts w:cstheme="minorHAnsi"/>
          <w:color w:val="000000" w:themeColor="text1"/>
        </w:rPr>
        <w:t xml:space="preserve"> quarter</w:t>
      </w:r>
      <w:r w:rsidRPr="00CA1666">
        <w:rPr>
          <w:rFonts w:cstheme="minorHAnsi"/>
          <w:color w:val="000000" w:themeColor="text1"/>
        </w:rPr>
        <w:t xml:space="preserve"> </w:t>
      </w:r>
      <w:r>
        <w:rPr>
          <w:rFonts w:cstheme="minorHAnsi"/>
          <w:color w:val="000000" w:themeColor="text1"/>
        </w:rPr>
        <w:t xml:space="preserve">also </w:t>
      </w:r>
      <w:r w:rsidRPr="00CA1666">
        <w:rPr>
          <w:rFonts w:cstheme="minorHAnsi"/>
          <w:color w:val="000000" w:themeColor="text1"/>
        </w:rPr>
        <w:t>revised up</w:t>
      </w:r>
      <w:r>
        <w:rPr>
          <w:rFonts w:cstheme="minorHAnsi"/>
          <w:color w:val="000000" w:themeColor="text1"/>
        </w:rPr>
        <w:t>,</w:t>
      </w:r>
      <w:r w:rsidR="00A40EB0" w:rsidRPr="00CA1666">
        <w:rPr>
          <w:rStyle w:val="FootnoteReference"/>
          <w:rFonts w:cstheme="minorHAnsi"/>
        </w:rPr>
        <w:footnoteReference w:id="2"/>
      </w:r>
      <w:r w:rsidRPr="00CA1666">
        <w:rPr>
          <w:rFonts w:cstheme="minorHAnsi"/>
          <w:color w:val="000000" w:themeColor="text1"/>
        </w:rPr>
        <w:t xml:space="preserve"> confirming that the recovery was gaining pace as lower interest rates flowed through, before </w:t>
      </w:r>
      <w:r>
        <w:rPr>
          <w:rFonts w:cstheme="minorHAnsi"/>
          <w:color w:val="000000" w:themeColor="text1"/>
        </w:rPr>
        <w:t xml:space="preserve">the </w:t>
      </w:r>
      <w:r w:rsidRPr="00CA1666">
        <w:rPr>
          <w:rFonts w:cstheme="minorHAnsi"/>
          <w:color w:val="000000" w:themeColor="text1"/>
        </w:rPr>
        <w:t>Middle East conflict interrupted</w:t>
      </w:r>
      <w:r>
        <w:rPr>
          <w:rFonts w:cstheme="minorHAnsi"/>
          <w:color w:val="000000" w:themeColor="text1"/>
        </w:rPr>
        <w:t xml:space="preserve"> the momentum</w:t>
      </w:r>
      <w:r w:rsidRPr="00CA1666">
        <w:rPr>
          <w:rFonts w:cstheme="minorHAnsi"/>
          <w:color w:val="000000" w:themeColor="text1"/>
        </w:rPr>
        <w:t xml:space="preserve">. </w:t>
      </w:r>
    </w:p>
    <w:p w14:paraId="57108DD0" w14:textId="66AEA48F" w:rsidR="000A09CF" w:rsidRPr="00CA1666" w:rsidRDefault="000A09CF" w:rsidP="00152FB2">
      <w:pPr>
        <w:spacing w:after="0"/>
        <w:jc w:val="left"/>
        <w:rPr>
          <w:rFonts w:cstheme="minorHAnsi"/>
          <w:color w:val="000000" w:themeColor="text1"/>
        </w:rPr>
      </w:pPr>
      <w:r w:rsidRPr="00CA1666">
        <w:rPr>
          <w:rFonts w:cstheme="minorHAnsi"/>
          <w:color w:val="000000" w:themeColor="text1"/>
        </w:rPr>
        <w:t>Labour market conditions improved marginally</w:t>
      </w:r>
      <w:r w:rsidR="00C923D7">
        <w:rPr>
          <w:rFonts w:cstheme="minorHAnsi"/>
          <w:color w:val="000000" w:themeColor="text1"/>
        </w:rPr>
        <w:t>:</w:t>
      </w:r>
      <w:r w:rsidRPr="00CA1666">
        <w:rPr>
          <w:rFonts w:cstheme="minorHAnsi"/>
          <w:color w:val="000000" w:themeColor="text1"/>
        </w:rPr>
        <w:t xml:space="preserve"> unemployment </w:t>
      </w:r>
      <w:r w:rsidR="00C923D7">
        <w:rPr>
          <w:rFonts w:cstheme="minorHAnsi"/>
          <w:color w:val="000000" w:themeColor="text1"/>
        </w:rPr>
        <w:t>eased</w:t>
      </w:r>
      <w:r w:rsidRPr="00CA1666">
        <w:rPr>
          <w:rFonts w:cstheme="minorHAnsi"/>
          <w:color w:val="000000" w:themeColor="text1"/>
        </w:rPr>
        <w:t xml:space="preserve"> to 5.3% from 5.4% in the previous quarter</w:t>
      </w:r>
      <w:r w:rsidR="00794B62">
        <w:rPr>
          <w:rFonts w:cstheme="minorHAnsi"/>
          <w:color w:val="000000" w:themeColor="text1"/>
        </w:rPr>
        <w:t xml:space="preserve"> </w:t>
      </w:r>
      <w:r w:rsidR="00C923D7">
        <w:rPr>
          <w:rFonts w:cstheme="minorHAnsi"/>
          <w:color w:val="000000" w:themeColor="text1"/>
        </w:rPr>
        <w:t>but stayed</w:t>
      </w:r>
      <w:r w:rsidR="00794B62">
        <w:rPr>
          <w:rFonts w:cstheme="minorHAnsi"/>
          <w:color w:val="000000" w:themeColor="text1"/>
        </w:rPr>
        <w:t xml:space="preserve"> close to its recent peak</w:t>
      </w:r>
      <w:r w:rsidRPr="00CA1666">
        <w:rPr>
          <w:rFonts w:cstheme="minorHAnsi"/>
          <w:color w:val="000000" w:themeColor="text1"/>
        </w:rPr>
        <w:t>.</w:t>
      </w:r>
      <w:r w:rsidR="00DE15CA" w:rsidRPr="00336AE9">
        <w:rPr>
          <w:rStyle w:val="FootnoteReference"/>
          <w:rFonts w:cstheme="minorHAnsi"/>
          <w:color w:val="000000" w:themeColor="text1"/>
        </w:rPr>
        <w:footnoteReference w:id="3"/>
      </w:r>
      <w:r w:rsidRPr="00336AE9">
        <w:rPr>
          <w:rFonts w:cstheme="minorHAnsi"/>
          <w:color w:val="000000" w:themeColor="text1"/>
        </w:rPr>
        <w:t xml:space="preserve"> </w:t>
      </w:r>
      <w:r w:rsidRPr="00CA1666">
        <w:rPr>
          <w:rFonts w:cstheme="minorHAnsi"/>
          <w:color w:val="000000" w:themeColor="text1"/>
        </w:rPr>
        <w:t xml:space="preserve">Net migration increased to </w:t>
      </w:r>
      <w:r w:rsidR="004D18BC">
        <w:rPr>
          <w:rFonts w:cstheme="minorHAnsi"/>
          <w:color w:val="000000" w:themeColor="text1"/>
        </w:rPr>
        <w:t>18</w:t>
      </w:r>
      <w:r w:rsidRPr="00CA1666">
        <w:rPr>
          <w:rFonts w:cstheme="minorHAnsi"/>
          <w:color w:val="000000" w:themeColor="text1"/>
        </w:rPr>
        <w:t xml:space="preserve">,800 in the year ended </w:t>
      </w:r>
      <w:r w:rsidR="00580C7F">
        <w:rPr>
          <w:rFonts w:cstheme="minorHAnsi"/>
          <w:color w:val="000000" w:themeColor="text1"/>
        </w:rPr>
        <w:t>May</w:t>
      </w:r>
      <w:r w:rsidR="00580C7F" w:rsidRPr="00CA1666">
        <w:rPr>
          <w:rFonts w:cstheme="minorHAnsi"/>
          <w:color w:val="000000" w:themeColor="text1"/>
        </w:rPr>
        <w:t xml:space="preserve"> </w:t>
      </w:r>
      <w:r w:rsidRPr="00CA1666">
        <w:rPr>
          <w:rFonts w:cstheme="minorHAnsi"/>
          <w:color w:val="000000" w:themeColor="text1"/>
        </w:rPr>
        <w:t xml:space="preserve">2026, up from </w:t>
      </w:r>
      <w:r w:rsidR="00580C7F" w:rsidRPr="00CA1666">
        <w:rPr>
          <w:rFonts w:cstheme="minorHAnsi"/>
          <w:color w:val="000000" w:themeColor="text1"/>
        </w:rPr>
        <w:t>1</w:t>
      </w:r>
      <w:r w:rsidR="00580C7F">
        <w:rPr>
          <w:rFonts w:cstheme="minorHAnsi"/>
          <w:color w:val="000000" w:themeColor="text1"/>
        </w:rPr>
        <w:t>0</w:t>
      </w:r>
      <w:r w:rsidRPr="00CA1666">
        <w:rPr>
          <w:rFonts w:cstheme="minorHAnsi"/>
          <w:color w:val="000000" w:themeColor="text1"/>
        </w:rPr>
        <w:t>,</w:t>
      </w:r>
      <w:r w:rsidR="00580C7F">
        <w:rPr>
          <w:rFonts w:cstheme="minorHAnsi"/>
          <w:color w:val="000000" w:themeColor="text1"/>
        </w:rPr>
        <w:t>6</w:t>
      </w:r>
      <w:r w:rsidR="00580C7F" w:rsidRPr="00CA1666">
        <w:rPr>
          <w:rFonts w:cstheme="minorHAnsi"/>
          <w:color w:val="000000" w:themeColor="text1"/>
        </w:rPr>
        <w:t>00</w:t>
      </w:r>
      <w:r w:rsidRPr="00CA1666">
        <w:rPr>
          <w:rFonts w:cstheme="minorHAnsi"/>
          <w:color w:val="000000" w:themeColor="text1"/>
        </w:rPr>
        <w:t xml:space="preserve"> a year earlier.</w:t>
      </w:r>
      <w:r w:rsidR="002207B4" w:rsidRPr="00CA1666">
        <w:rPr>
          <w:rStyle w:val="FootnoteReference"/>
          <w:rFonts w:cstheme="minorHAnsi"/>
        </w:rPr>
        <w:footnoteReference w:id="4"/>
      </w:r>
      <w:r w:rsidRPr="00CA1666">
        <w:rPr>
          <w:rFonts w:cstheme="minorHAnsi"/>
          <w:color w:val="000000" w:themeColor="text1"/>
        </w:rPr>
        <w:t xml:space="preserve"> Despite i</w:t>
      </w:r>
      <w:r w:rsidR="00CA3D7F">
        <w:rPr>
          <w:rFonts w:cstheme="minorHAnsi"/>
          <w:color w:val="000000" w:themeColor="text1"/>
        </w:rPr>
        <w:t>ncreas</w:t>
      </w:r>
      <w:r w:rsidRPr="00CA1666">
        <w:rPr>
          <w:rFonts w:cstheme="minorHAnsi"/>
          <w:color w:val="000000" w:themeColor="text1"/>
        </w:rPr>
        <w:t>ed net migration, hous</w:t>
      </w:r>
      <w:r w:rsidR="000737ED">
        <w:rPr>
          <w:rFonts w:cstheme="minorHAnsi"/>
          <w:color w:val="000000" w:themeColor="text1"/>
        </w:rPr>
        <w:t>ing</w:t>
      </w:r>
      <w:r w:rsidR="00D031A6">
        <w:rPr>
          <w:rFonts w:cstheme="minorHAnsi"/>
          <w:color w:val="000000" w:themeColor="text1"/>
        </w:rPr>
        <w:t xml:space="preserve"> purchase</w:t>
      </w:r>
      <w:r w:rsidRPr="00CA1666">
        <w:rPr>
          <w:rFonts w:cstheme="minorHAnsi"/>
          <w:color w:val="000000" w:themeColor="text1"/>
        </w:rPr>
        <w:t xml:space="preserve"> demand </w:t>
      </w:r>
      <w:r w:rsidR="00CB6E4F">
        <w:rPr>
          <w:rFonts w:cstheme="minorHAnsi"/>
          <w:color w:val="000000" w:themeColor="text1"/>
        </w:rPr>
        <w:t>i</w:t>
      </w:r>
      <w:r w:rsidRPr="00CA1666">
        <w:rPr>
          <w:rFonts w:cstheme="minorHAnsi"/>
          <w:color w:val="000000" w:themeColor="text1"/>
        </w:rPr>
        <w:t>s subdued by a soft labour market</w:t>
      </w:r>
      <w:r w:rsidR="00B85340">
        <w:rPr>
          <w:rFonts w:cstheme="minorHAnsi"/>
          <w:color w:val="000000" w:themeColor="text1"/>
        </w:rPr>
        <w:t xml:space="preserve">, low investor </w:t>
      </w:r>
      <w:r w:rsidR="009264BA">
        <w:rPr>
          <w:rFonts w:cstheme="minorHAnsi"/>
          <w:color w:val="000000" w:themeColor="text1"/>
        </w:rPr>
        <w:t>activity</w:t>
      </w:r>
      <w:r w:rsidRPr="00CA1666">
        <w:rPr>
          <w:rFonts w:cstheme="minorHAnsi"/>
          <w:color w:val="000000" w:themeColor="text1"/>
        </w:rPr>
        <w:t xml:space="preserve"> and elevated housing stock.</w:t>
      </w:r>
    </w:p>
    <w:p w14:paraId="311D54E2" w14:textId="03996510" w:rsidR="000A09CF" w:rsidRPr="00CA1666" w:rsidRDefault="00261B69" w:rsidP="00152FB2">
      <w:pPr>
        <w:spacing w:after="0"/>
        <w:jc w:val="left"/>
        <w:rPr>
          <w:rFonts w:cstheme="minorHAnsi"/>
          <w:b/>
          <w:bCs/>
          <w:color w:val="000000" w:themeColor="text1"/>
        </w:rPr>
      </w:pPr>
      <w:r>
        <w:rPr>
          <w:rFonts w:cstheme="minorHAnsi"/>
          <w:b/>
          <w:bCs/>
          <w:color w:val="000000" w:themeColor="text1"/>
        </w:rPr>
        <w:t>Residential c</w:t>
      </w:r>
      <w:r w:rsidR="000A09CF" w:rsidRPr="00CA1666">
        <w:rPr>
          <w:rFonts w:cstheme="minorHAnsi"/>
          <w:b/>
          <w:bCs/>
          <w:color w:val="000000" w:themeColor="text1"/>
        </w:rPr>
        <w:t xml:space="preserve">onstruction </w:t>
      </w:r>
      <w:r w:rsidR="00FA4494">
        <w:rPr>
          <w:rFonts w:cstheme="minorHAnsi"/>
          <w:b/>
          <w:bCs/>
          <w:color w:val="000000" w:themeColor="text1"/>
        </w:rPr>
        <w:t>activity remains subdued</w:t>
      </w:r>
    </w:p>
    <w:p w14:paraId="4D4E204B" w14:textId="57A948FB" w:rsidR="000A09CF" w:rsidRPr="00CA1666" w:rsidRDefault="00EF3683" w:rsidP="00152FB2">
      <w:pPr>
        <w:spacing w:after="0"/>
        <w:jc w:val="left"/>
        <w:rPr>
          <w:color w:val="000000" w:themeColor="text1"/>
        </w:rPr>
      </w:pPr>
      <w:r>
        <w:rPr>
          <w:color w:val="000000" w:themeColor="text1"/>
        </w:rPr>
        <w:t>W</w:t>
      </w:r>
      <w:r w:rsidR="00261B69">
        <w:rPr>
          <w:color w:val="000000" w:themeColor="text1"/>
        </w:rPr>
        <w:t>hile</w:t>
      </w:r>
      <w:r w:rsidR="000A09CF" w:rsidRPr="1F45E501">
        <w:rPr>
          <w:color w:val="000000" w:themeColor="text1"/>
        </w:rPr>
        <w:t xml:space="preserve"> the </w:t>
      </w:r>
      <w:r w:rsidR="00261B69">
        <w:rPr>
          <w:color w:val="000000" w:themeColor="text1"/>
        </w:rPr>
        <w:t>outlook for</w:t>
      </w:r>
      <w:r w:rsidR="00AE7061">
        <w:rPr>
          <w:color w:val="000000" w:themeColor="text1"/>
        </w:rPr>
        <w:t xml:space="preserve"> the</w:t>
      </w:r>
      <w:r w:rsidR="00261B69">
        <w:rPr>
          <w:color w:val="000000" w:themeColor="text1"/>
        </w:rPr>
        <w:t xml:space="preserve"> construction </w:t>
      </w:r>
      <w:r w:rsidR="00706961">
        <w:rPr>
          <w:color w:val="000000" w:themeColor="text1"/>
        </w:rPr>
        <w:t>sector</w:t>
      </w:r>
      <w:r w:rsidR="00261B69">
        <w:rPr>
          <w:color w:val="000000" w:themeColor="text1"/>
        </w:rPr>
        <w:t xml:space="preserve"> </w:t>
      </w:r>
      <w:r w:rsidR="0079399A">
        <w:rPr>
          <w:color w:val="000000" w:themeColor="text1"/>
        </w:rPr>
        <w:t>appears</w:t>
      </w:r>
      <w:r w:rsidR="00261B69">
        <w:rPr>
          <w:color w:val="000000" w:themeColor="text1"/>
        </w:rPr>
        <w:t xml:space="preserve"> </w:t>
      </w:r>
      <w:r w:rsidR="00D84669">
        <w:rPr>
          <w:color w:val="000000" w:themeColor="text1"/>
        </w:rPr>
        <w:t>to be improving</w:t>
      </w:r>
      <w:r w:rsidR="00261B69">
        <w:rPr>
          <w:color w:val="000000" w:themeColor="text1"/>
        </w:rPr>
        <w:t>, c</w:t>
      </w:r>
      <w:r w:rsidR="000A09CF" w:rsidRPr="1F45E501">
        <w:rPr>
          <w:color w:val="000000" w:themeColor="text1"/>
        </w:rPr>
        <w:t xml:space="preserve">onstruction </w:t>
      </w:r>
      <w:r w:rsidR="00FA4494">
        <w:rPr>
          <w:color w:val="000000" w:themeColor="text1"/>
        </w:rPr>
        <w:t xml:space="preserve">activity </w:t>
      </w:r>
      <w:r w:rsidR="00F93A03">
        <w:rPr>
          <w:color w:val="000000" w:themeColor="text1"/>
        </w:rPr>
        <w:t xml:space="preserve">has </w:t>
      </w:r>
      <w:r w:rsidR="009B28F6">
        <w:rPr>
          <w:color w:val="000000" w:themeColor="text1"/>
        </w:rPr>
        <w:t>continued to</w:t>
      </w:r>
      <w:r w:rsidR="00F93A03">
        <w:rPr>
          <w:color w:val="000000" w:themeColor="text1"/>
        </w:rPr>
        <w:t xml:space="preserve"> decline,</w:t>
      </w:r>
      <w:r w:rsidR="000A09CF" w:rsidRPr="1F45E501">
        <w:rPr>
          <w:color w:val="000000" w:themeColor="text1"/>
        </w:rPr>
        <w:t xml:space="preserve"> falling by 1.0% in the March 2026 quarter despite broader GDP growth</w:t>
      </w:r>
      <w:r w:rsidR="00B77CEC">
        <w:rPr>
          <w:color w:val="000000" w:themeColor="text1"/>
        </w:rPr>
        <w:t>.</w:t>
      </w:r>
      <w:r w:rsidR="00881110">
        <w:rPr>
          <w:color w:val="000000" w:themeColor="text1"/>
          <w:vertAlign w:val="superscript"/>
        </w:rPr>
        <w:t>1</w:t>
      </w:r>
      <w:r w:rsidR="000A09CF" w:rsidRPr="1F45E501">
        <w:rPr>
          <w:color w:val="000000" w:themeColor="text1"/>
        </w:rPr>
        <w:t xml:space="preserve"> Although </w:t>
      </w:r>
      <w:r w:rsidR="00F05726">
        <w:rPr>
          <w:color w:val="000000" w:themeColor="text1"/>
        </w:rPr>
        <w:t xml:space="preserve">consenting of </w:t>
      </w:r>
      <w:r w:rsidR="000A09CF" w:rsidRPr="1F45E501">
        <w:rPr>
          <w:color w:val="000000" w:themeColor="text1"/>
        </w:rPr>
        <w:t>dwelling</w:t>
      </w:r>
      <w:r w:rsidR="00F05726">
        <w:rPr>
          <w:color w:val="000000" w:themeColor="text1"/>
        </w:rPr>
        <w:t>s</w:t>
      </w:r>
      <w:r w:rsidR="000A09CF" w:rsidRPr="1F45E501">
        <w:rPr>
          <w:color w:val="000000" w:themeColor="text1"/>
        </w:rPr>
        <w:t xml:space="preserve"> ha</w:t>
      </w:r>
      <w:r w:rsidR="00F05726">
        <w:rPr>
          <w:color w:val="000000" w:themeColor="text1"/>
        </w:rPr>
        <w:t>s</w:t>
      </w:r>
      <w:r w:rsidR="000A09CF" w:rsidRPr="1F45E501">
        <w:rPr>
          <w:color w:val="000000" w:themeColor="text1"/>
        </w:rPr>
        <w:t xml:space="preserve"> been recovering since </w:t>
      </w:r>
      <w:r w:rsidR="00E71F23">
        <w:rPr>
          <w:color w:val="000000" w:themeColor="text1"/>
        </w:rPr>
        <w:t>late</w:t>
      </w:r>
      <w:r w:rsidR="000A09CF" w:rsidRPr="1F45E501">
        <w:rPr>
          <w:color w:val="000000" w:themeColor="text1"/>
        </w:rPr>
        <w:t xml:space="preserve"> 202</w:t>
      </w:r>
      <w:r w:rsidR="00E71F23">
        <w:rPr>
          <w:color w:val="000000" w:themeColor="text1"/>
        </w:rPr>
        <w:t>5</w:t>
      </w:r>
      <w:r w:rsidR="000A09CF" w:rsidRPr="1F45E501">
        <w:rPr>
          <w:color w:val="000000" w:themeColor="text1"/>
        </w:rPr>
        <w:t xml:space="preserve">, the gap between </w:t>
      </w:r>
      <w:r w:rsidR="0013651C">
        <w:rPr>
          <w:color w:val="000000" w:themeColor="text1"/>
        </w:rPr>
        <w:t xml:space="preserve">these </w:t>
      </w:r>
      <w:r w:rsidR="000A09CF" w:rsidRPr="1F45E501">
        <w:rPr>
          <w:color w:val="000000" w:themeColor="text1"/>
        </w:rPr>
        <w:t>intentions and delivery has widened</w:t>
      </w:r>
      <w:r w:rsidR="000C1D95">
        <w:rPr>
          <w:color w:val="000000" w:themeColor="text1"/>
        </w:rPr>
        <w:t xml:space="preserve"> through</w:t>
      </w:r>
      <w:r w:rsidR="000A09CF" w:rsidRPr="1F45E501">
        <w:rPr>
          <w:color w:val="000000" w:themeColor="text1"/>
        </w:rPr>
        <w:t xml:space="preserve"> weak</w:t>
      </w:r>
      <w:r w:rsidR="002D599F">
        <w:rPr>
          <w:color w:val="000000" w:themeColor="text1"/>
        </w:rPr>
        <w:t xml:space="preserve"> </w:t>
      </w:r>
      <w:r w:rsidR="00B13596">
        <w:rPr>
          <w:color w:val="000000" w:themeColor="text1"/>
        </w:rPr>
        <w:t xml:space="preserve">buyer </w:t>
      </w:r>
      <w:r w:rsidR="002D599F">
        <w:rPr>
          <w:color w:val="000000" w:themeColor="text1"/>
        </w:rPr>
        <w:t xml:space="preserve">demand </w:t>
      </w:r>
      <w:r w:rsidR="00B13596">
        <w:rPr>
          <w:color w:val="000000" w:themeColor="text1"/>
        </w:rPr>
        <w:t>restricting the ability to finance development</w:t>
      </w:r>
      <w:r w:rsidR="00BC2F0E">
        <w:rPr>
          <w:color w:val="000000" w:themeColor="text1"/>
        </w:rPr>
        <w:t>,</w:t>
      </w:r>
      <w:r w:rsidR="003E0AF3">
        <w:rPr>
          <w:color w:val="000000" w:themeColor="text1"/>
        </w:rPr>
        <w:t xml:space="preserve"> </w:t>
      </w:r>
      <w:r w:rsidR="00D25812">
        <w:rPr>
          <w:color w:val="000000" w:themeColor="text1"/>
        </w:rPr>
        <w:t xml:space="preserve">cost pressures </w:t>
      </w:r>
      <w:r w:rsidR="00577ECE">
        <w:rPr>
          <w:color w:val="000000" w:themeColor="text1"/>
        </w:rPr>
        <w:t>on</w:t>
      </w:r>
      <w:r w:rsidR="000A09CF" w:rsidRPr="1F45E501">
        <w:rPr>
          <w:color w:val="000000" w:themeColor="text1"/>
        </w:rPr>
        <w:t xml:space="preserve"> developer margins, </w:t>
      </w:r>
      <w:r w:rsidR="003E0AF3">
        <w:rPr>
          <w:color w:val="000000" w:themeColor="text1"/>
        </w:rPr>
        <w:t>increasing</w:t>
      </w:r>
      <w:r w:rsidR="000A09CF" w:rsidRPr="1F45E501">
        <w:rPr>
          <w:color w:val="000000" w:themeColor="text1"/>
        </w:rPr>
        <w:t xml:space="preserve"> project delays, and a</w:t>
      </w:r>
      <w:r w:rsidR="00046BD3">
        <w:rPr>
          <w:color w:val="000000" w:themeColor="text1"/>
        </w:rPr>
        <w:t xml:space="preserve"> </w:t>
      </w:r>
      <w:r w:rsidR="00D57427">
        <w:rPr>
          <w:color w:val="000000" w:themeColor="text1"/>
        </w:rPr>
        <w:t>large number</w:t>
      </w:r>
      <w:r w:rsidR="00046BD3">
        <w:rPr>
          <w:color w:val="000000" w:themeColor="text1"/>
        </w:rPr>
        <w:t xml:space="preserve"> of </w:t>
      </w:r>
      <w:r w:rsidR="00D57427">
        <w:rPr>
          <w:color w:val="000000" w:themeColor="text1"/>
        </w:rPr>
        <w:t>homes for sale</w:t>
      </w:r>
      <w:r w:rsidR="00713E6D">
        <w:rPr>
          <w:color w:val="000000" w:themeColor="text1"/>
        </w:rPr>
        <w:t xml:space="preserve"> overall</w:t>
      </w:r>
      <w:r w:rsidR="000A09CF" w:rsidRPr="1F45E501">
        <w:rPr>
          <w:color w:val="000000" w:themeColor="text1"/>
        </w:rPr>
        <w:t>.</w:t>
      </w:r>
    </w:p>
    <w:p w14:paraId="4939ADF2" w14:textId="0BE007A7" w:rsidR="000A09CF" w:rsidRPr="00CA1666" w:rsidRDefault="000A09CF" w:rsidP="00152FB2">
      <w:pPr>
        <w:spacing w:after="0"/>
        <w:jc w:val="left"/>
        <w:rPr>
          <w:rFonts w:cstheme="minorHAnsi"/>
          <w:b/>
          <w:bCs/>
          <w:color w:val="000000" w:themeColor="text1"/>
        </w:rPr>
      </w:pPr>
      <w:r w:rsidRPr="00CA1666">
        <w:rPr>
          <w:rFonts w:cstheme="minorHAnsi"/>
          <w:b/>
          <w:bCs/>
          <w:color w:val="000000" w:themeColor="text1"/>
        </w:rPr>
        <w:t xml:space="preserve">Inflation pressures </w:t>
      </w:r>
      <w:r w:rsidR="0079399A">
        <w:rPr>
          <w:rFonts w:cstheme="minorHAnsi"/>
          <w:b/>
          <w:bCs/>
          <w:color w:val="000000" w:themeColor="text1"/>
        </w:rPr>
        <w:t>persist</w:t>
      </w:r>
    </w:p>
    <w:p w14:paraId="44D2E871" w14:textId="27CA095C" w:rsidR="000A09CF" w:rsidRPr="00CA1666" w:rsidRDefault="000A09CF" w:rsidP="00152FB2">
      <w:pPr>
        <w:spacing w:after="0"/>
        <w:jc w:val="left"/>
        <w:rPr>
          <w:rFonts w:cstheme="minorHAnsi"/>
          <w:color w:val="000000" w:themeColor="text1"/>
        </w:rPr>
      </w:pPr>
      <w:r w:rsidRPr="00CA1666">
        <w:rPr>
          <w:rFonts w:cstheme="minorHAnsi"/>
          <w:color w:val="000000" w:themeColor="text1"/>
        </w:rPr>
        <w:t xml:space="preserve">Annual inflation </w:t>
      </w:r>
      <w:r w:rsidR="00684B9D">
        <w:rPr>
          <w:rFonts w:cstheme="minorHAnsi"/>
          <w:color w:val="000000" w:themeColor="text1"/>
        </w:rPr>
        <w:t>edged up to</w:t>
      </w:r>
      <w:r w:rsidRPr="00CA1666">
        <w:rPr>
          <w:rFonts w:cstheme="minorHAnsi"/>
          <w:color w:val="000000" w:themeColor="text1"/>
        </w:rPr>
        <w:t xml:space="preserve"> </w:t>
      </w:r>
      <w:r w:rsidR="00B51224" w:rsidRPr="00BD6BCC">
        <w:rPr>
          <w:rFonts w:cstheme="minorHAnsi"/>
          <w:color w:val="000000" w:themeColor="text1"/>
        </w:rPr>
        <w:t>4</w:t>
      </w:r>
      <w:r w:rsidRPr="00BD6BCC">
        <w:rPr>
          <w:rFonts w:cstheme="minorHAnsi"/>
          <w:color w:val="000000" w:themeColor="text1"/>
        </w:rPr>
        <w:t xml:space="preserve">.1% in the </w:t>
      </w:r>
      <w:r w:rsidR="00B51224" w:rsidRPr="00BD6BCC">
        <w:rPr>
          <w:rFonts w:cstheme="minorHAnsi"/>
          <w:color w:val="000000" w:themeColor="text1"/>
        </w:rPr>
        <w:t>June</w:t>
      </w:r>
      <w:r w:rsidRPr="00BD6BCC">
        <w:rPr>
          <w:rFonts w:cstheme="minorHAnsi"/>
          <w:color w:val="000000" w:themeColor="text1"/>
        </w:rPr>
        <w:t xml:space="preserve"> 2026 quarter</w:t>
      </w:r>
      <w:r w:rsidRPr="00CA1666">
        <w:rPr>
          <w:rFonts w:cstheme="minorHAnsi"/>
          <w:color w:val="000000" w:themeColor="text1"/>
        </w:rPr>
        <w:t xml:space="preserve">, above </w:t>
      </w:r>
      <w:r w:rsidR="00B005C6" w:rsidRPr="00CA1666">
        <w:rPr>
          <w:rFonts w:cstheme="minorHAnsi"/>
          <w:color w:val="000000" w:themeColor="text1"/>
        </w:rPr>
        <w:t xml:space="preserve">the </w:t>
      </w:r>
      <w:r w:rsidR="00727373">
        <w:rPr>
          <w:rFonts w:cstheme="minorHAnsi"/>
          <w:color w:val="000000" w:themeColor="text1"/>
        </w:rPr>
        <w:t>RBNZ</w:t>
      </w:r>
      <w:r w:rsidRPr="00CA1666">
        <w:rPr>
          <w:rFonts w:cstheme="minorHAnsi"/>
          <w:color w:val="000000" w:themeColor="text1"/>
        </w:rPr>
        <w:t>’s target range.</w:t>
      </w:r>
      <w:r w:rsidR="00516CA4" w:rsidRPr="00CA1666">
        <w:rPr>
          <w:rStyle w:val="FootnoteReference"/>
          <w:rFonts w:cstheme="minorHAnsi"/>
        </w:rPr>
        <w:footnoteReference w:id="5"/>
      </w:r>
      <w:r w:rsidRPr="00CA1666">
        <w:rPr>
          <w:rFonts w:cstheme="minorHAnsi"/>
          <w:color w:val="000000" w:themeColor="text1"/>
        </w:rPr>
        <w:t xml:space="preserve"> The spike in oil prices added to inflation pressures, alongside electricity prices, rates, food costs and </w:t>
      </w:r>
      <w:r w:rsidR="00D33BF8">
        <w:rPr>
          <w:rFonts w:cstheme="minorHAnsi"/>
          <w:color w:val="000000" w:themeColor="text1"/>
        </w:rPr>
        <w:t xml:space="preserve">other </w:t>
      </w:r>
      <w:r w:rsidRPr="00CA1666">
        <w:rPr>
          <w:rFonts w:cstheme="minorHAnsi"/>
          <w:color w:val="000000" w:themeColor="text1"/>
        </w:rPr>
        <w:t>household expenses.</w:t>
      </w:r>
      <w:r w:rsidR="00400A05">
        <w:rPr>
          <w:rFonts w:cstheme="minorHAnsi"/>
          <w:color w:val="000000" w:themeColor="text1"/>
        </w:rPr>
        <w:t xml:space="preserve"> </w:t>
      </w:r>
      <w:r w:rsidR="009329D8">
        <w:rPr>
          <w:rFonts w:cstheme="minorHAnsi"/>
          <w:color w:val="000000" w:themeColor="text1"/>
        </w:rPr>
        <w:t>These increases continue to put pressure on already tight household budgets.</w:t>
      </w:r>
    </w:p>
    <w:p w14:paraId="6A2C147C" w14:textId="0D68D6DC" w:rsidR="000A09CF" w:rsidRPr="00CA1666" w:rsidRDefault="009B28F6" w:rsidP="00152FB2">
      <w:pPr>
        <w:jc w:val="left"/>
        <w:rPr>
          <w:rFonts w:cstheme="minorHAnsi"/>
          <w:color w:val="000000" w:themeColor="text1"/>
        </w:rPr>
      </w:pPr>
      <w:r>
        <w:rPr>
          <w:rFonts w:cstheme="minorHAnsi"/>
          <w:color w:val="000000" w:themeColor="text1"/>
        </w:rPr>
        <w:t>I</w:t>
      </w:r>
      <w:r w:rsidR="009329D8">
        <w:rPr>
          <w:rFonts w:cstheme="minorHAnsi"/>
          <w:color w:val="000000" w:themeColor="text1"/>
        </w:rPr>
        <w:t>n response,</w:t>
      </w:r>
      <w:r w:rsidR="000A09CF" w:rsidRPr="00CA1666">
        <w:rPr>
          <w:rFonts w:cstheme="minorHAnsi"/>
          <w:color w:val="000000" w:themeColor="text1"/>
        </w:rPr>
        <w:t xml:space="preserve"> the </w:t>
      </w:r>
      <w:r w:rsidR="009329D8">
        <w:rPr>
          <w:rFonts w:cstheme="minorHAnsi"/>
          <w:color w:val="000000" w:themeColor="text1"/>
        </w:rPr>
        <w:t>R</w:t>
      </w:r>
      <w:r w:rsidR="00B005C6" w:rsidRPr="00CA1666">
        <w:rPr>
          <w:rFonts w:cstheme="minorHAnsi"/>
          <w:color w:val="000000" w:themeColor="text1"/>
        </w:rPr>
        <w:t xml:space="preserve">BNZ </w:t>
      </w:r>
      <w:r w:rsidR="00D956E9">
        <w:rPr>
          <w:rFonts w:cstheme="minorHAnsi"/>
          <w:color w:val="000000" w:themeColor="text1"/>
        </w:rPr>
        <w:t xml:space="preserve">increased </w:t>
      </w:r>
      <w:r w:rsidR="00AC66BE">
        <w:rPr>
          <w:rFonts w:cstheme="minorHAnsi"/>
          <w:color w:val="000000" w:themeColor="text1"/>
        </w:rPr>
        <w:t xml:space="preserve">the </w:t>
      </w:r>
      <w:r w:rsidR="00D956E9">
        <w:rPr>
          <w:rFonts w:cstheme="minorHAnsi"/>
          <w:color w:val="000000" w:themeColor="text1"/>
        </w:rPr>
        <w:t xml:space="preserve">OCR </w:t>
      </w:r>
      <w:r w:rsidR="00E643E6">
        <w:rPr>
          <w:rFonts w:cstheme="minorHAnsi"/>
          <w:color w:val="000000" w:themeColor="text1"/>
        </w:rPr>
        <w:t>by 25 basis points</w:t>
      </w:r>
      <w:r w:rsidR="000A09CF" w:rsidRPr="00CA1666">
        <w:rPr>
          <w:rFonts w:cstheme="minorHAnsi"/>
          <w:color w:val="000000" w:themeColor="text1"/>
        </w:rPr>
        <w:t xml:space="preserve"> </w:t>
      </w:r>
      <w:r w:rsidR="00E643E6">
        <w:rPr>
          <w:rFonts w:cstheme="minorHAnsi"/>
          <w:color w:val="000000" w:themeColor="text1"/>
        </w:rPr>
        <w:t>to</w:t>
      </w:r>
      <w:r w:rsidR="00E643E6" w:rsidRPr="00CA1666">
        <w:rPr>
          <w:rFonts w:cstheme="minorHAnsi"/>
          <w:color w:val="000000" w:themeColor="text1"/>
        </w:rPr>
        <w:t xml:space="preserve"> </w:t>
      </w:r>
      <w:r w:rsidR="000A09CF" w:rsidRPr="00CA1666">
        <w:rPr>
          <w:rFonts w:cstheme="minorHAnsi"/>
          <w:color w:val="000000" w:themeColor="text1"/>
        </w:rPr>
        <w:t>2.</w:t>
      </w:r>
      <w:r w:rsidR="00E643E6">
        <w:rPr>
          <w:rFonts w:cstheme="minorHAnsi"/>
          <w:color w:val="000000" w:themeColor="text1"/>
        </w:rPr>
        <w:t>5</w:t>
      </w:r>
      <w:r w:rsidR="000A09CF" w:rsidRPr="00CA1666">
        <w:rPr>
          <w:rFonts w:cstheme="minorHAnsi"/>
          <w:color w:val="000000" w:themeColor="text1"/>
        </w:rPr>
        <w:t xml:space="preserve">% in </w:t>
      </w:r>
      <w:r w:rsidR="00AB202F">
        <w:rPr>
          <w:rFonts w:cstheme="minorHAnsi"/>
          <w:color w:val="000000" w:themeColor="text1"/>
        </w:rPr>
        <w:t>July</w:t>
      </w:r>
      <w:r w:rsidR="00AB202F" w:rsidRPr="00CA1666">
        <w:rPr>
          <w:rFonts w:cstheme="minorHAnsi"/>
          <w:color w:val="000000" w:themeColor="text1"/>
        </w:rPr>
        <w:t xml:space="preserve"> and</w:t>
      </w:r>
      <w:r w:rsidR="000A09CF" w:rsidRPr="00CA1666">
        <w:rPr>
          <w:rFonts w:cstheme="minorHAnsi"/>
          <w:color w:val="000000" w:themeColor="text1"/>
        </w:rPr>
        <w:t xml:space="preserve"> expects inflation to increase further during 2026</w:t>
      </w:r>
      <w:r w:rsidR="00AB202F">
        <w:rPr>
          <w:rFonts w:cstheme="minorHAnsi"/>
          <w:color w:val="000000" w:themeColor="text1"/>
        </w:rPr>
        <w:t xml:space="preserve"> </w:t>
      </w:r>
      <w:r w:rsidR="000A09CF" w:rsidRPr="00CA1666">
        <w:rPr>
          <w:rFonts w:cstheme="minorHAnsi"/>
          <w:color w:val="000000" w:themeColor="text1"/>
        </w:rPr>
        <w:t>before returning to the target range in 2027.</w:t>
      </w:r>
      <w:r w:rsidR="003040C4" w:rsidRPr="00CA1666">
        <w:rPr>
          <w:rStyle w:val="FootnoteReference"/>
          <w:rFonts w:cstheme="minorHAnsi"/>
        </w:rPr>
        <w:footnoteReference w:id="6"/>
      </w:r>
      <w:r w:rsidR="000A09CF" w:rsidRPr="00CA1666">
        <w:rPr>
          <w:rFonts w:cstheme="minorHAnsi"/>
          <w:color w:val="000000" w:themeColor="text1"/>
        </w:rPr>
        <w:t xml:space="preserve"> </w:t>
      </w:r>
      <w:r w:rsidR="006C2610">
        <w:rPr>
          <w:rFonts w:cstheme="minorHAnsi"/>
          <w:color w:val="000000" w:themeColor="text1"/>
        </w:rPr>
        <w:t xml:space="preserve"> Th</w:t>
      </w:r>
      <w:r w:rsidR="00A322DB">
        <w:rPr>
          <w:rFonts w:cstheme="minorHAnsi"/>
          <w:color w:val="000000" w:themeColor="text1"/>
        </w:rPr>
        <w:t xml:space="preserve">e </w:t>
      </w:r>
      <w:r w:rsidR="000A09CF" w:rsidRPr="00CA1666">
        <w:rPr>
          <w:rFonts w:cstheme="minorHAnsi"/>
          <w:color w:val="000000" w:themeColor="text1"/>
        </w:rPr>
        <w:t xml:space="preserve">RBNZ </w:t>
      </w:r>
      <w:r w:rsidR="00A322DB">
        <w:rPr>
          <w:rFonts w:cstheme="minorHAnsi"/>
          <w:color w:val="000000" w:themeColor="text1"/>
        </w:rPr>
        <w:t xml:space="preserve">has </w:t>
      </w:r>
      <w:r w:rsidR="000A09CF" w:rsidRPr="00CA1666">
        <w:rPr>
          <w:rFonts w:cstheme="minorHAnsi"/>
          <w:color w:val="000000" w:themeColor="text1"/>
        </w:rPr>
        <w:t xml:space="preserve">signalled </w:t>
      </w:r>
      <w:r w:rsidR="00A322DB">
        <w:rPr>
          <w:rFonts w:cstheme="minorHAnsi"/>
          <w:color w:val="000000" w:themeColor="text1"/>
        </w:rPr>
        <w:t xml:space="preserve">further </w:t>
      </w:r>
      <w:r w:rsidR="00D67712" w:rsidRPr="00CA1666">
        <w:rPr>
          <w:rFonts w:cstheme="minorHAnsi"/>
          <w:color w:val="000000" w:themeColor="text1"/>
        </w:rPr>
        <w:t>increase</w:t>
      </w:r>
      <w:r w:rsidR="00D67712">
        <w:rPr>
          <w:rFonts w:cstheme="minorHAnsi"/>
          <w:color w:val="000000" w:themeColor="text1"/>
        </w:rPr>
        <w:t>s</w:t>
      </w:r>
      <w:r w:rsidR="00D67712" w:rsidRPr="00CA1666">
        <w:rPr>
          <w:rFonts w:cstheme="minorHAnsi"/>
          <w:color w:val="000000" w:themeColor="text1"/>
        </w:rPr>
        <w:t xml:space="preserve"> </w:t>
      </w:r>
      <w:r w:rsidR="00D67712">
        <w:rPr>
          <w:rFonts w:cstheme="minorHAnsi"/>
          <w:color w:val="000000" w:themeColor="text1"/>
        </w:rPr>
        <w:t>this</w:t>
      </w:r>
      <w:r w:rsidR="00A322DB">
        <w:rPr>
          <w:rFonts w:cstheme="minorHAnsi"/>
          <w:color w:val="000000" w:themeColor="text1"/>
        </w:rPr>
        <w:t xml:space="preserve"> year but </w:t>
      </w:r>
      <w:r w:rsidR="008C3626">
        <w:rPr>
          <w:rFonts w:cstheme="minorHAnsi"/>
          <w:color w:val="000000" w:themeColor="text1"/>
        </w:rPr>
        <w:t>was</w:t>
      </w:r>
      <w:r w:rsidR="00A322DB">
        <w:rPr>
          <w:rFonts w:cstheme="minorHAnsi"/>
          <w:color w:val="000000" w:themeColor="text1"/>
        </w:rPr>
        <w:t xml:space="preserve"> non-committal over the timings.</w:t>
      </w:r>
    </w:p>
    <w:p w14:paraId="381AC64B" w14:textId="77777777" w:rsidR="000A09CF" w:rsidRPr="00640833" w:rsidRDefault="000A09CF" w:rsidP="00152FB2">
      <w:pPr>
        <w:pStyle w:val="Heading2"/>
        <w:rPr>
          <w:color w:val="003E52"/>
          <w:szCs w:val="36"/>
        </w:rPr>
      </w:pPr>
      <w:bookmarkStart w:id="17" w:name="_Toc234687965"/>
      <w:bookmarkStart w:id="18" w:name="_Toc234688189"/>
      <w:bookmarkStart w:id="19" w:name="_Toc235108980"/>
      <w:r w:rsidRPr="007600E3">
        <w:t>Outlook</w:t>
      </w:r>
      <w:bookmarkEnd w:id="17"/>
      <w:bookmarkEnd w:id="18"/>
      <w:bookmarkEnd w:id="19"/>
    </w:p>
    <w:p w14:paraId="7635FEA3" w14:textId="6D5BE9D4" w:rsidR="000A09CF" w:rsidRPr="00CA1666" w:rsidRDefault="007A448B" w:rsidP="00152FB2">
      <w:pPr>
        <w:spacing w:after="0"/>
        <w:jc w:val="left"/>
        <w:rPr>
          <w:rFonts w:cstheme="minorHAnsi"/>
          <w:b/>
          <w:bCs/>
          <w:color w:val="000000" w:themeColor="text1"/>
        </w:rPr>
      </w:pPr>
      <w:r>
        <w:rPr>
          <w:rFonts w:cstheme="minorHAnsi"/>
          <w:b/>
          <w:bCs/>
          <w:color w:val="000000" w:themeColor="text1"/>
        </w:rPr>
        <w:t>Previous d</w:t>
      </w:r>
      <w:r w:rsidR="000A09CF" w:rsidRPr="00CA1666">
        <w:rPr>
          <w:rFonts w:cstheme="minorHAnsi"/>
          <w:b/>
          <w:bCs/>
          <w:color w:val="000000" w:themeColor="text1"/>
        </w:rPr>
        <w:t>e-escalation in Middle East improve</w:t>
      </w:r>
      <w:r w:rsidR="00FF624B">
        <w:rPr>
          <w:rFonts w:cstheme="minorHAnsi"/>
          <w:b/>
          <w:bCs/>
          <w:color w:val="000000" w:themeColor="text1"/>
        </w:rPr>
        <w:t>d</w:t>
      </w:r>
      <w:r w:rsidR="000A09CF" w:rsidRPr="00CA1666">
        <w:rPr>
          <w:rFonts w:cstheme="minorHAnsi"/>
          <w:b/>
          <w:bCs/>
          <w:color w:val="000000" w:themeColor="text1"/>
        </w:rPr>
        <w:t xml:space="preserve"> the outlook</w:t>
      </w:r>
      <w:r w:rsidR="00012B35">
        <w:rPr>
          <w:rFonts w:cstheme="minorHAnsi"/>
          <w:b/>
          <w:bCs/>
          <w:color w:val="000000" w:themeColor="text1"/>
        </w:rPr>
        <w:t xml:space="preserve">, but uncertainty </w:t>
      </w:r>
      <w:r w:rsidR="0079399A">
        <w:rPr>
          <w:rFonts w:cstheme="minorHAnsi"/>
          <w:b/>
          <w:bCs/>
          <w:color w:val="000000" w:themeColor="text1"/>
        </w:rPr>
        <w:t>continue</w:t>
      </w:r>
      <w:r w:rsidR="00F73E27">
        <w:rPr>
          <w:rFonts w:cstheme="minorHAnsi"/>
          <w:b/>
          <w:bCs/>
          <w:color w:val="000000" w:themeColor="text1"/>
        </w:rPr>
        <w:t>s</w:t>
      </w:r>
    </w:p>
    <w:p w14:paraId="1076B9CA" w14:textId="6F61C225" w:rsidR="000A09CF" w:rsidRPr="00CA1666" w:rsidRDefault="0053752B" w:rsidP="00152FB2">
      <w:pPr>
        <w:spacing w:after="0"/>
        <w:jc w:val="left"/>
        <w:rPr>
          <w:rFonts w:cstheme="minorHAnsi"/>
          <w:color w:val="000000" w:themeColor="text1"/>
        </w:rPr>
      </w:pPr>
      <w:r>
        <w:rPr>
          <w:rFonts w:cstheme="minorHAnsi"/>
          <w:color w:val="000000" w:themeColor="text1"/>
        </w:rPr>
        <w:t xml:space="preserve">The start of </w:t>
      </w:r>
      <w:r w:rsidR="00961DD6">
        <w:rPr>
          <w:rFonts w:cstheme="minorHAnsi"/>
          <w:color w:val="000000" w:themeColor="text1"/>
        </w:rPr>
        <w:t xml:space="preserve">the </w:t>
      </w:r>
      <w:r>
        <w:rPr>
          <w:rFonts w:cstheme="minorHAnsi"/>
          <w:color w:val="000000" w:themeColor="text1"/>
        </w:rPr>
        <w:t xml:space="preserve">Middle East </w:t>
      </w:r>
      <w:r w:rsidR="00961DD6">
        <w:rPr>
          <w:rFonts w:cstheme="minorHAnsi"/>
          <w:color w:val="000000" w:themeColor="text1"/>
        </w:rPr>
        <w:t>conflict caused</w:t>
      </w:r>
      <w:r w:rsidR="000A09CF" w:rsidRPr="00CA1666">
        <w:rPr>
          <w:rFonts w:cstheme="minorHAnsi"/>
          <w:color w:val="000000" w:themeColor="text1"/>
        </w:rPr>
        <w:t xml:space="preserve"> </w:t>
      </w:r>
      <w:r w:rsidR="008C3626">
        <w:rPr>
          <w:rFonts w:cstheme="minorHAnsi"/>
          <w:color w:val="000000" w:themeColor="text1"/>
        </w:rPr>
        <w:t>the</w:t>
      </w:r>
      <w:r w:rsidR="000A09CF" w:rsidRPr="00CA1666">
        <w:rPr>
          <w:rFonts w:cstheme="minorHAnsi"/>
          <w:color w:val="000000" w:themeColor="text1"/>
        </w:rPr>
        <w:t xml:space="preserve"> </w:t>
      </w:r>
      <w:r w:rsidR="00BB0F2C">
        <w:rPr>
          <w:rFonts w:cstheme="minorHAnsi"/>
          <w:color w:val="000000" w:themeColor="text1"/>
        </w:rPr>
        <w:t xml:space="preserve">business </w:t>
      </w:r>
      <w:r w:rsidR="000A09CF" w:rsidRPr="00CA1666">
        <w:rPr>
          <w:rFonts w:cstheme="minorHAnsi"/>
          <w:color w:val="000000" w:themeColor="text1"/>
        </w:rPr>
        <w:t xml:space="preserve">outlook </w:t>
      </w:r>
      <w:r>
        <w:rPr>
          <w:rFonts w:cstheme="minorHAnsi"/>
          <w:color w:val="000000" w:themeColor="text1"/>
        </w:rPr>
        <w:t>to fall</w:t>
      </w:r>
      <w:r w:rsidR="00C0414D">
        <w:rPr>
          <w:rFonts w:cstheme="minorHAnsi"/>
          <w:color w:val="000000" w:themeColor="text1"/>
        </w:rPr>
        <w:t xml:space="preserve"> </w:t>
      </w:r>
      <w:r w:rsidR="007B2C89">
        <w:rPr>
          <w:rFonts w:cstheme="minorHAnsi"/>
          <w:color w:val="000000" w:themeColor="text1"/>
        </w:rPr>
        <w:t>before improving</w:t>
      </w:r>
      <w:r w:rsidR="00CD7553">
        <w:rPr>
          <w:rFonts w:cstheme="minorHAnsi"/>
          <w:color w:val="000000" w:themeColor="text1"/>
        </w:rPr>
        <w:t xml:space="preserve"> </w:t>
      </w:r>
      <w:r w:rsidR="001D49EA">
        <w:rPr>
          <w:rFonts w:cstheme="minorHAnsi"/>
          <w:color w:val="000000" w:themeColor="text1"/>
        </w:rPr>
        <w:t xml:space="preserve">with </w:t>
      </w:r>
      <w:r w:rsidR="0011493E">
        <w:rPr>
          <w:rFonts w:cstheme="minorHAnsi"/>
          <w:color w:val="000000" w:themeColor="text1"/>
        </w:rPr>
        <w:t xml:space="preserve">the </w:t>
      </w:r>
      <w:r w:rsidR="00BB0F2C">
        <w:rPr>
          <w:rFonts w:cstheme="minorHAnsi"/>
          <w:color w:val="000000" w:themeColor="text1"/>
        </w:rPr>
        <w:t>ceasefire</w:t>
      </w:r>
      <w:r w:rsidR="000A09CF" w:rsidRPr="00CA1666">
        <w:rPr>
          <w:rFonts w:cstheme="minorHAnsi"/>
          <w:color w:val="000000" w:themeColor="text1"/>
        </w:rPr>
        <w:t>. Fuel prices fell sharply as tensions began to ease, and business confidence rebounded strongly in June, as firms became significantly more optimistic</w:t>
      </w:r>
      <w:r w:rsidR="00C418DA" w:rsidRPr="00CA1666">
        <w:rPr>
          <w:rFonts w:cstheme="minorHAnsi"/>
          <w:color w:val="000000" w:themeColor="text1"/>
        </w:rPr>
        <w:t>.</w:t>
      </w:r>
      <w:r w:rsidR="00C418DA" w:rsidRPr="00CA1666">
        <w:rPr>
          <w:rStyle w:val="FootnoteReference"/>
          <w:rFonts w:cstheme="minorHAnsi"/>
        </w:rPr>
        <w:footnoteReference w:id="7"/>
      </w:r>
      <w:r w:rsidR="002B2603" w:rsidRPr="00CA1666">
        <w:rPr>
          <w:rFonts w:cstheme="minorHAnsi"/>
          <w:color w:val="000000" w:themeColor="text1"/>
        </w:rPr>
        <w:t xml:space="preserve"> </w:t>
      </w:r>
      <w:r w:rsidR="00882EAD">
        <w:rPr>
          <w:rFonts w:cstheme="minorHAnsi"/>
          <w:color w:val="000000" w:themeColor="text1"/>
        </w:rPr>
        <w:t>Oil prices remain volatile with the risk of continu</w:t>
      </w:r>
      <w:r w:rsidR="000B2A79">
        <w:rPr>
          <w:rFonts w:cstheme="minorHAnsi"/>
          <w:color w:val="000000" w:themeColor="text1"/>
        </w:rPr>
        <w:t>ing</w:t>
      </w:r>
      <w:r w:rsidR="00882EAD">
        <w:rPr>
          <w:rFonts w:cstheme="minorHAnsi"/>
          <w:color w:val="000000" w:themeColor="text1"/>
        </w:rPr>
        <w:t xml:space="preserve"> conflict between the US and Iran. Ec</w:t>
      </w:r>
      <w:r w:rsidR="000A09CF" w:rsidRPr="00CA1666">
        <w:rPr>
          <w:rFonts w:cstheme="minorHAnsi"/>
          <w:color w:val="000000" w:themeColor="text1"/>
        </w:rPr>
        <w:t>onomic activity in the June quarter is still expected to be weak</w:t>
      </w:r>
      <w:r w:rsidR="00774EDA">
        <w:rPr>
          <w:rFonts w:cstheme="minorHAnsi"/>
          <w:color w:val="000000" w:themeColor="text1"/>
        </w:rPr>
        <w:t>,</w:t>
      </w:r>
      <w:r w:rsidR="000A09CF" w:rsidRPr="00CA1666">
        <w:rPr>
          <w:rFonts w:cstheme="minorHAnsi"/>
          <w:color w:val="000000" w:themeColor="text1"/>
        </w:rPr>
        <w:t xml:space="preserve"> reflecting </w:t>
      </w:r>
      <w:r w:rsidR="00C60AB7">
        <w:rPr>
          <w:rFonts w:cstheme="minorHAnsi"/>
          <w:color w:val="000000" w:themeColor="text1"/>
        </w:rPr>
        <w:t xml:space="preserve">the </w:t>
      </w:r>
      <w:r w:rsidR="000A09CF" w:rsidRPr="00CA1666">
        <w:rPr>
          <w:rFonts w:cstheme="minorHAnsi"/>
          <w:color w:val="000000" w:themeColor="text1"/>
        </w:rPr>
        <w:t>disruption that has already occurred.</w:t>
      </w:r>
      <w:r w:rsidR="002B2603" w:rsidRPr="00CA1666">
        <w:rPr>
          <w:rStyle w:val="FootnoteReference"/>
          <w:rFonts w:cstheme="minorHAnsi"/>
        </w:rPr>
        <w:footnoteReference w:id="8"/>
      </w:r>
      <w:r w:rsidR="000A09CF" w:rsidRPr="00CA1666">
        <w:rPr>
          <w:rFonts w:cstheme="minorHAnsi"/>
          <w:color w:val="000000" w:themeColor="text1"/>
        </w:rPr>
        <w:t xml:space="preserve"> </w:t>
      </w:r>
    </w:p>
    <w:p w14:paraId="78834363" w14:textId="11245CE7" w:rsidR="008813A8" w:rsidRDefault="000A09CF" w:rsidP="008813A8">
      <w:pPr>
        <w:spacing w:after="0"/>
        <w:jc w:val="left"/>
        <w:rPr>
          <w:rFonts w:cstheme="minorHAnsi"/>
          <w:color w:val="000000" w:themeColor="text1"/>
        </w:rPr>
      </w:pPr>
      <w:r w:rsidRPr="00CA1666">
        <w:rPr>
          <w:rFonts w:cstheme="minorHAnsi"/>
          <w:color w:val="000000" w:themeColor="text1"/>
        </w:rPr>
        <w:t xml:space="preserve">This economic backdrop sets an uneven stage for housing. Lower </w:t>
      </w:r>
      <w:r w:rsidR="001E6D1E">
        <w:rPr>
          <w:rFonts w:cstheme="minorHAnsi"/>
          <w:color w:val="000000" w:themeColor="text1"/>
        </w:rPr>
        <w:t xml:space="preserve">interest </w:t>
      </w:r>
      <w:r w:rsidRPr="00CA1666">
        <w:rPr>
          <w:rFonts w:cstheme="minorHAnsi"/>
          <w:color w:val="000000" w:themeColor="text1"/>
        </w:rPr>
        <w:t xml:space="preserve">rates and steadier sentiment </w:t>
      </w:r>
      <w:r w:rsidR="00AF5633">
        <w:rPr>
          <w:rFonts w:cstheme="minorHAnsi"/>
          <w:color w:val="000000" w:themeColor="text1"/>
        </w:rPr>
        <w:t>have been</w:t>
      </w:r>
      <w:r w:rsidR="00E60F25" w:rsidRPr="00CA1666">
        <w:rPr>
          <w:rFonts w:cstheme="minorHAnsi"/>
          <w:color w:val="000000" w:themeColor="text1"/>
        </w:rPr>
        <w:t xml:space="preserve"> </w:t>
      </w:r>
      <w:r w:rsidRPr="00CA1666">
        <w:rPr>
          <w:rFonts w:cstheme="minorHAnsi"/>
          <w:color w:val="000000" w:themeColor="text1"/>
        </w:rPr>
        <w:t>tentatively supporting demand</w:t>
      </w:r>
      <w:r w:rsidR="001E6D1E">
        <w:rPr>
          <w:rFonts w:cstheme="minorHAnsi"/>
          <w:color w:val="000000" w:themeColor="text1"/>
        </w:rPr>
        <w:t xml:space="preserve"> in some buyer segments</w:t>
      </w:r>
      <w:r w:rsidR="00741A88">
        <w:rPr>
          <w:rFonts w:cstheme="minorHAnsi"/>
          <w:color w:val="000000" w:themeColor="text1"/>
        </w:rPr>
        <w:t>. R</w:t>
      </w:r>
      <w:r w:rsidRPr="00CA1666">
        <w:rPr>
          <w:rFonts w:cstheme="minorHAnsi"/>
          <w:color w:val="000000" w:themeColor="text1"/>
        </w:rPr>
        <w:t xml:space="preserve">ising living costs and </w:t>
      </w:r>
      <w:r w:rsidR="00095C0C">
        <w:rPr>
          <w:rFonts w:cstheme="minorHAnsi"/>
          <w:color w:val="000000" w:themeColor="text1"/>
        </w:rPr>
        <w:t>increasing</w:t>
      </w:r>
      <w:r w:rsidRPr="00CA1666">
        <w:rPr>
          <w:rFonts w:cstheme="minorHAnsi"/>
          <w:color w:val="000000" w:themeColor="text1"/>
        </w:rPr>
        <w:t xml:space="preserve"> interest rates </w:t>
      </w:r>
      <w:r w:rsidR="00BD1822">
        <w:rPr>
          <w:rFonts w:cstheme="minorHAnsi"/>
          <w:color w:val="000000" w:themeColor="text1"/>
        </w:rPr>
        <w:t xml:space="preserve">would </w:t>
      </w:r>
      <w:r w:rsidRPr="00CA1666">
        <w:rPr>
          <w:rFonts w:cstheme="minorHAnsi"/>
          <w:color w:val="000000" w:themeColor="text1"/>
        </w:rPr>
        <w:t>pul</w:t>
      </w:r>
      <w:r w:rsidR="00C36288">
        <w:rPr>
          <w:rFonts w:cstheme="minorHAnsi"/>
          <w:color w:val="000000" w:themeColor="text1"/>
        </w:rPr>
        <w:t>l</w:t>
      </w:r>
      <w:r w:rsidRPr="00CA1666">
        <w:rPr>
          <w:rFonts w:cstheme="minorHAnsi"/>
          <w:color w:val="000000" w:themeColor="text1"/>
        </w:rPr>
        <w:t xml:space="preserve"> the other way. </w:t>
      </w:r>
      <w:r w:rsidR="009524FB">
        <w:rPr>
          <w:rFonts w:cstheme="minorHAnsi"/>
          <w:color w:val="000000" w:themeColor="text1"/>
        </w:rPr>
        <w:t>Net migration is rising</w:t>
      </w:r>
      <w:r w:rsidR="002644D7">
        <w:rPr>
          <w:rFonts w:cstheme="minorHAnsi"/>
          <w:color w:val="000000" w:themeColor="text1"/>
        </w:rPr>
        <w:t xml:space="preserve"> slightly</w:t>
      </w:r>
      <w:r w:rsidR="00B90ED9">
        <w:rPr>
          <w:rFonts w:cstheme="minorHAnsi"/>
          <w:color w:val="000000" w:themeColor="text1"/>
        </w:rPr>
        <w:t>,</w:t>
      </w:r>
      <w:r w:rsidR="00657139">
        <w:rPr>
          <w:rFonts w:cstheme="minorHAnsi"/>
          <w:color w:val="000000" w:themeColor="text1"/>
        </w:rPr>
        <w:t xml:space="preserve"> but w</w:t>
      </w:r>
      <w:r w:rsidR="00F91248">
        <w:rPr>
          <w:rFonts w:cstheme="minorHAnsi"/>
          <w:color w:val="000000" w:themeColor="text1"/>
        </w:rPr>
        <w:t xml:space="preserve">ith </w:t>
      </w:r>
      <w:r w:rsidR="00F91248" w:rsidRPr="00F91248">
        <w:rPr>
          <w:rFonts w:cstheme="minorHAnsi"/>
          <w:color w:val="000000" w:themeColor="text1"/>
        </w:rPr>
        <w:t xml:space="preserve">the geopolitical environment </w:t>
      </w:r>
      <w:r w:rsidR="00B90ED9">
        <w:rPr>
          <w:rFonts w:cstheme="minorHAnsi"/>
          <w:color w:val="000000" w:themeColor="text1"/>
        </w:rPr>
        <w:t>stubbornly</w:t>
      </w:r>
      <w:r w:rsidR="00F91248" w:rsidRPr="00F91248">
        <w:rPr>
          <w:rFonts w:cstheme="minorHAnsi"/>
          <w:color w:val="000000" w:themeColor="text1"/>
        </w:rPr>
        <w:t xml:space="preserve"> uncertain</w:t>
      </w:r>
      <w:r w:rsidR="00F91248">
        <w:rPr>
          <w:rFonts w:cstheme="minorHAnsi"/>
          <w:color w:val="000000" w:themeColor="text1"/>
        </w:rPr>
        <w:t>,</w:t>
      </w:r>
      <w:r w:rsidR="00F91248" w:rsidRPr="00F91248">
        <w:rPr>
          <w:rFonts w:cstheme="minorHAnsi"/>
          <w:color w:val="000000" w:themeColor="text1"/>
        </w:rPr>
        <w:t xml:space="preserve"> </w:t>
      </w:r>
      <w:r w:rsidR="00F91248">
        <w:rPr>
          <w:rFonts w:cstheme="minorHAnsi"/>
          <w:color w:val="000000" w:themeColor="text1"/>
        </w:rPr>
        <w:t>w</w:t>
      </w:r>
      <w:r w:rsidRPr="00CA1666">
        <w:rPr>
          <w:rFonts w:cstheme="minorHAnsi"/>
          <w:color w:val="000000" w:themeColor="text1"/>
        </w:rPr>
        <w:t xml:space="preserve">hether recovering demand firms enough to pull </w:t>
      </w:r>
      <w:r w:rsidR="00BB1EB2">
        <w:rPr>
          <w:rFonts w:cstheme="minorHAnsi"/>
          <w:color w:val="000000" w:themeColor="text1"/>
        </w:rPr>
        <w:t>building intentions</w:t>
      </w:r>
      <w:r w:rsidRPr="00CA1666">
        <w:rPr>
          <w:rFonts w:cstheme="minorHAnsi"/>
          <w:color w:val="000000" w:themeColor="text1"/>
        </w:rPr>
        <w:t xml:space="preserve"> through to completion will be a key factor shaping housing market trends over the next 12-18 months.</w:t>
      </w:r>
    </w:p>
    <w:p w14:paraId="45A13D6B" w14:textId="77777777" w:rsidR="009B5D27" w:rsidRPr="00CA1666" w:rsidRDefault="009B5D27" w:rsidP="00152FB2">
      <w:pPr>
        <w:spacing w:after="0"/>
        <w:jc w:val="left"/>
        <w:rPr>
          <w:rFonts w:cstheme="minorHAnsi"/>
          <w:color w:val="000000" w:themeColor="text1"/>
        </w:rPr>
      </w:pPr>
    </w:p>
    <w:p w14:paraId="36A70621" w14:textId="00B993E8" w:rsidR="009B5D27" w:rsidRDefault="009B5D27" w:rsidP="009B5D27">
      <w:pPr>
        <w:pStyle w:val="Heading1"/>
      </w:pPr>
      <w:bookmarkStart w:id="20" w:name="_Toc235108981"/>
      <w:bookmarkStart w:id="21" w:name="_Toc215561202"/>
      <w:r>
        <w:lastRenderedPageBreak/>
        <w:t>Rental market</w:t>
      </w:r>
      <w:bookmarkEnd w:id="20"/>
    </w:p>
    <w:p w14:paraId="2CB16CE1" w14:textId="7C136EC0" w:rsidR="009B5D27" w:rsidRDefault="009B5D27" w:rsidP="009B5D27">
      <w:pPr>
        <w:pStyle w:val="Heading2"/>
      </w:pPr>
      <w:bookmarkStart w:id="22" w:name="_Toc234687967"/>
      <w:bookmarkStart w:id="23" w:name="_Toc234688191"/>
      <w:bookmarkStart w:id="24" w:name="_Toc235108982"/>
      <w:r>
        <w:t>Situation</w:t>
      </w:r>
      <w:bookmarkEnd w:id="22"/>
      <w:bookmarkEnd w:id="23"/>
      <w:bookmarkEnd w:id="24"/>
    </w:p>
    <w:p w14:paraId="692BDCC5" w14:textId="5C6D8DD1" w:rsidR="009E5AD1" w:rsidRDefault="00E16ED0" w:rsidP="00E16ED0">
      <w:pPr>
        <w:pStyle w:val="BodyText"/>
        <w:rPr>
          <w:b/>
        </w:rPr>
      </w:pPr>
      <w:r w:rsidRPr="00E16ED0">
        <w:rPr>
          <w:b/>
        </w:rPr>
        <w:t xml:space="preserve">Rental </w:t>
      </w:r>
      <w:r w:rsidR="00BF4A61">
        <w:rPr>
          <w:b/>
        </w:rPr>
        <w:t>inflation</w:t>
      </w:r>
      <w:r w:rsidRPr="00E16ED0">
        <w:rPr>
          <w:b/>
        </w:rPr>
        <w:t xml:space="preserve"> </w:t>
      </w:r>
      <w:r w:rsidR="00841792">
        <w:rPr>
          <w:b/>
        </w:rPr>
        <w:t>moving towards</w:t>
      </w:r>
      <w:r w:rsidR="00BF4A61">
        <w:rPr>
          <w:b/>
        </w:rPr>
        <w:t xml:space="preserve"> stabili</w:t>
      </w:r>
      <w:r w:rsidR="00841792">
        <w:rPr>
          <w:b/>
        </w:rPr>
        <w:t>sation</w:t>
      </w:r>
      <w:r w:rsidR="00BF4A61">
        <w:rPr>
          <w:b/>
        </w:rPr>
        <w:t xml:space="preserve"> after a period of decline</w:t>
      </w:r>
      <w:r w:rsidR="00925187" w:rsidRPr="00925187">
        <w:rPr>
          <w:b/>
        </w:rPr>
        <w:t xml:space="preserve"> </w:t>
      </w:r>
    </w:p>
    <w:p w14:paraId="3EC662B6" w14:textId="097863E7" w:rsidR="00E16ED0" w:rsidRDefault="00077517" w:rsidP="00E16ED0">
      <w:pPr>
        <w:pStyle w:val="BodyText"/>
      </w:pPr>
      <w:r w:rsidRPr="00F610C3">
        <w:t xml:space="preserve">After </w:t>
      </w:r>
      <w:r>
        <w:t xml:space="preserve">the recent </w:t>
      </w:r>
      <w:r w:rsidRPr="00F610C3">
        <w:t xml:space="preserve">period of decline, rents for new tenancies have </w:t>
      </w:r>
      <w:r w:rsidR="005113D9">
        <w:t>risen</w:t>
      </w:r>
      <w:r w:rsidRPr="00F610C3">
        <w:t xml:space="preserve"> slightly in the June quarter</w:t>
      </w:r>
      <w:r>
        <w:t xml:space="preserve">. </w:t>
      </w:r>
      <w:r w:rsidR="00E16ED0" w:rsidRPr="00E16ED0">
        <w:t xml:space="preserve">In the year to </w:t>
      </w:r>
      <w:r w:rsidR="00483C41">
        <w:t>June</w:t>
      </w:r>
      <w:r w:rsidR="00E16ED0" w:rsidRPr="00E16ED0">
        <w:t xml:space="preserve"> 2026, rents for new tenancies </w:t>
      </w:r>
      <w:r w:rsidR="00A134BC">
        <w:t>at a national level</w:t>
      </w:r>
      <w:r w:rsidR="00E16ED0" w:rsidRPr="00E16ED0">
        <w:t xml:space="preserve"> rose </w:t>
      </w:r>
      <w:r w:rsidR="00483C41">
        <w:t>1.0%</w:t>
      </w:r>
      <w:r w:rsidR="00D771C4">
        <w:t xml:space="preserve"> </w:t>
      </w:r>
      <w:r w:rsidR="00E16ED0" w:rsidRPr="00E16ED0">
        <w:t>and rents for existing tenancies rose 0.</w:t>
      </w:r>
      <w:r w:rsidR="00D771C4">
        <w:t>2</w:t>
      </w:r>
      <w:r w:rsidR="00E16ED0" w:rsidRPr="00E16ED0">
        <w:t>%</w:t>
      </w:r>
      <w:r w:rsidR="00031B77">
        <w:t>.</w:t>
      </w:r>
      <w:r w:rsidR="00DB2565">
        <w:rPr>
          <w:rStyle w:val="FootnoteReference"/>
        </w:rPr>
        <w:footnoteReference w:id="9"/>
      </w:r>
      <w:r w:rsidR="00F610C3" w:rsidRPr="00F610C3">
        <w:t xml:space="preserve"> While renters are no longer experiencing the rapid rent increases seen in 2022 and 2023, the phase of outright rent declines that characterised much of 2024 and 2025 now appears to be coming to an end</w:t>
      </w:r>
      <w:r w:rsidR="00E16ED0" w:rsidRPr="00E16ED0">
        <w:t>.</w:t>
      </w:r>
    </w:p>
    <w:p w14:paraId="34BC5EB6" w14:textId="7DCFA2E0" w:rsidR="00D16B54" w:rsidRDefault="00D16B54" w:rsidP="00E16ED0">
      <w:pPr>
        <w:pStyle w:val="BodyText"/>
      </w:pPr>
      <w:r w:rsidRPr="00D16B54">
        <w:t>The pace of rental market correction vari</w:t>
      </w:r>
      <w:r w:rsidR="00246B42">
        <w:t xml:space="preserve">ed </w:t>
      </w:r>
      <w:r w:rsidRPr="00D16B54">
        <w:t>across regions. Wellington experienced the sharpest declines, with rent</w:t>
      </w:r>
      <w:r w:rsidR="00202763">
        <w:t xml:space="preserve">s dropping </w:t>
      </w:r>
      <w:r w:rsidRPr="00D16B54">
        <w:t xml:space="preserve">9.0% in </w:t>
      </w:r>
      <w:r w:rsidR="00202763">
        <w:t>the year to</w:t>
      </w:r>
      <w:r w:rsidRPr="00D16B54">
        <w:t xml:space="preserve"> May 2025. </w:t>
      </w:r>
      <w:r w:rsidR="00254DDA">
        <w:t>The pace of decline has since eased to</w:t>
      </w:r>
      <w:r w:rsidRPr="00D16B54">
        <w:t xml:space="preserve"> </w:t>
      </w:r>
      <w:r w:rsidR="00D20469">
        <w:t>-0.9%</w:t>
      </w:r>
      <w:r w:rsidRPr="00D16B54">
        <w:t xml:space="preserve"> </w:t>
      </w:r>
      <w:r w:rsidR="00254DDA">
        <w:t>in the year to</w:t>
      </w:r>
      <w:r w:rsidRPr="00D16B54">
        <w:t xml:space="preserve"> </w:t>
      </w:r>
      <w:r w:rsidR="000928FE">
        <w:t>June</w:t>
      </w:r>
      <w:r w:rsidRPr="00D16B54">
        <w:t xml:space="preserve"> 2026</w:t>
      </w:r>
      <w:r w:rsidR="00B55E59" w:rsidRPr="00D16B54">
        <w:t>.⁸</w:t>
      </w:r>
    </w:p>
    <w:p w14:paraId="0976B07F" w14:textId="163CF4FA" w:rsidR="00D16B54" w:rsidRDefault="00D16B54" w:rsidP="00E16ED0">
      <w:pPr>
        <w:pStyle w:val="BodyText"/>
      </w:pPr>
      <w:r w:rsidRPr="00D16B54">
        <w:t xml:space="preserve">Auckland followed a similar but less pronounced pattern. Annual rent growth remained weak for </w:t>
      </w:r>
      <w:r w:rsidR="003851E5">
        <w:t>ab</w:t>
      </w:r>
      <w:r w:rsidR="000A4B1A">
        <w:t>out</w:t>
      </w:r>
      <w:r w:rsidR="00C200DF">
        <w:t xml:space="preserve"> two years</w:t>
      </w:r>
      <w:r w:rsidRPr="00D16B54">
        <w:t xml:space="preserve">, fluctuating between -2.2% and +0.9%, and rarely sustaining growth for long. </w:t>
      </w:r>
      <w:r w:rsidR="001F28AE">
        <w:t>However, s</w:t>
      </w:r>
      <w:r w:rsidR="00211AEF">
        <w:t>ince April 20</w:t>
      </w:r>
      <w:r w:rsidR="00CF72BB">
        <w:t>26</w:t>
      </w:r>
      <w:r w:rsidR="00337C14">
        <w:t xml:space="preserve"> the annual rental growth has</w:t>
      </w:r>
      <w:r w:rsidR="00F96CD1">
        <w:t xml:space="preserve"> remained in</w:t>
      </w:r>
      <w:r w:rsidRPr="00D16B54">
        <w:t xml:space="preserve"> positive territory</w:t>
      </w:r>
      <w:r w:rsidR="00500B6E">
        <w:t xml:space="preserve"> (</w:t>
      </w:r>
      <w:r w:rsidR="00982AB2" w:rsidRPr="00D16B54">
        <w:t>+0.</w:t>
      </w:r>
      <w:r w:rsidR="00982AB2">
        <w:t>6</w:t>
      </w:r>
      <w:r w:rsidR="00982AB2" w:rsidRPr="00D16B54">
        <w:t>%</w:t>
      </w:r>
      <w:r w:rsidR="00982AB2">
        <w:t xml:space="preserve"> </w:t>
      </w:r>
      <w:r w:rsidR="00500B6E">
        <w:t xml:space="preserve">annual </w:t>
      </w:r>
      <w:r w:rsidR="00A31E86">
        <w:t>rental inflation in June 2026</w:t>
      </w:r>
      <w:r w:rsidR="00982AB2">
        <w:t>)</w:t>
      </w:r>
      <w:r w:rsidR="003679F8">
        <w:t>. This</w:t>
      </w:r>
      <w:r w:rsidRPr="00D16B54">
        <w:t xml:space="preserve"> </w:t>
      </w:r>
      <w:r w:rsidR="001B3836">
        <w:t>suggest</w:t>
      </w:r>
      <w:r w:rsidR="003679F8">
        <w:t>s</w:t>
      </w:r>
      <w:r w:rsidR="001B3836">
        <w:t xml:space="preserve"> rents may</w:t>
      </w:r>
      <w:r w:rsidR="0065035F">
        <w:t xml:space="preserve"> </w:t>
      </w:r>
      <w:r w:rsidR="00B21666" w:rsidRPr="00B21666">
        <w:t>have moved past their recent low point</w:t>
      </w:r>
      <w:r w:rsidR="006B6C62">
        <w:t xml:space="preserve"> </w:t>
      </w:r>
      <w:r w:rsidR="00F66CE8">
        <w:t>supported by</w:t>
      </w:r>
      <w:r w:rsidR="00E870BF">
        <w:t xml:space="preserve"> the</w:t>
      </w:r>
      <w:r w:rsidR="007B4381">
        <w:t xml:space="preserve"> </w:t>
      </w:r>
      <w:r w:rsidR="002309C4">
        <w:t xml:space="preserve">recent uptick in </w:t>
      </w:r>
      <w:r w:rsidR="00F66CE8">
        <w:t>net migration</w:t>
      </w:r>
      <w:r w:rsidRPr="00D16B54">
        <w:t>.</w:t>
      </w:r>
    </w:p>
    <w:p w14:paraId="6A925E0B" w14:textId="2764D647" w:rsidR="00D062D0" w:rsidRPr="00D062D0" w:rsidRDefault="00D16B54" w:rsidP="00D062D0">
      <w:pPr>
        <w:pStyle w:val="BodyText"/>
      </w:pPr>
      <w:r w:rsidRPr="00D16B54">
        <w:t xml:space="preserve">Canterbury </w:t>
      </w:r>
      <w:r w:rsidR="00386EC0">
        <w:t>followed</w:t>
      </w:r>
      <w:r w:rsidRPr="00D16B54">
        <w:t xml:space="preserve"> a very different pattern </w:t>
      </w:r>
      <w:r w:rsidR="00386EC0">
        <w:t xml:space="preserve">from the </w:t>
      </w:r>
      <w:r w:rsidRPr="00D16B54">
        <w:t>North Island</w:t>
      </w:r>
      <w:r w:rsidR="00386EC0">
        <w:t xml:space="preserve"> regions</w:t>
      </w:r>
      <w:r w:rsidR="00846A73">
        <w:t>, supported by</w:t>
      </w:r>
      <w:r w:rsidRPr="00D16B54">
        <w:t xml:space="preserve"> </w:t>
      </w:r>
      <w:r w:rsidR="00CA6366">
        <w:t>a</w:t>
      </w:r>
      <w:r w:rsidRPr="00D16B54">
        <w:t xml:space="preserve"> stronger regional economy</w:t>
      </w:r>
      <w:r w:rsidR="004C49E0">
        <w:t xml:space="preserve"> and</w:t>
      </w:r>
      <w:r w:rsidRPr="00D16B54">
        <w:t xml:space="preserve"> </w:t>
      </w:r>
      <w:r w:rsidR="00125721">
        <w:t>better</w:t>
      </w:r>
      <w:r w:rsidR="00ED1773">
        <w:t xml:space="preserve"> </w:t>
      </w:r>
      <w:r w:rsidRPr="00D16B54">
        <w:t xml:space="preserve">labour market conditions. </w:t>
      </w:r>
      <w:r w:rsidR="006D1780">
        <w:t>R</w:t>
      </w:r>
      <w:r w:rsidRPr="00D16B54">
        <w:t>ental inflation remained mainly positive but at a moderate level</w:t>
      </w:r>
      <w:r w:rsidR="0040213E">
        <w:t xml:space="preserve"> due to </w:t>
      </w:r>
      <w:r w:rsidR="0040213E" w:rsidRPr="00D16B54">
        <w:t>responsive housing supply</w:t>
      </w:r>
      <w:r w:rsidRPr="00D16B54">
        <w:t>. Over the year to</w:t>
      </w:r>
      <w:r w:rsidRPr="00D16B54" w:rsidDel="00545337">
        <w:t xml:space="preserve"> </w:t>
      </w:r>
      <w:r w:rsidR="00545337">
        <w:t>June</w:t>
      </w:r>
      <w:r w:rsidRPr="00D16B54">
        <w:t xml:space="preserve"> 2026 rental prices grew by </w:t>
      </w:r>
      <w:r w:rsidR="000928FE">
        <w:t>3.</w:t>
      </w:r>
      <w:r w:rsidRPr="00D16B54">
        <w:t>0%</w:t>
      </w:r>
      <w:r w:rsidR="00D062D0" w:rsidRPr="00D062D0">
        <w:t>.</w:t>
      </w:r>
      <w:r w:rsidR="00446334">
        <w:rPr>
          <w:rFonts w:cs="Calibri"/>
        </w:rPr>
        <w:t>⁸</w:t>
      </w:r>
    </w:p>
    <w:p w14:paraId="5BC5C246" w14:textId="2C4D386E" w:rsidR="00E16ED0" w:rsidRPr="00684E61" w:rsidRDefault="0018051B" w:rsidP="00E16ED0">
      <w:pPr>
        <w:pStyle w:val="BodyText"/>
        <w:rPr>
          <w:b/>
        </w:rPr>
      </w:pPr>
      <w:r>
        <w:rPr>
          <w:b/>
          <w:bCs/>
        </w:rPr>
        <w:t>R</w:t>
      </w:r>
      <w:r w:rsidRPr="00684E61">
        <w:rPr>
          <w:b/>
          <w:bCs/>
        </w:rPr>
        <w:t xml:space="preserve">enters </w:t>
      </w:r>
      <w:r>
        <w:rPr>
          <w:b/>
          <w:bCs/>
        </w:rPr>
        <w:t>h</w:t>
      </w:r>
      <w:r w:rsidRPr="00684E61">
        <w:rPr>
          <w:b/>
          <w:bCs/>
        </w:rPr>
        <w:t xml:space="preserve">ave </w:t>
      </w:r>
      <w:r w:rsidR="00433CA5">
        <w:rPr>
          <w:b/>
          <w:bCs/>
        </w:rPr>
        <w:t>experience</w:t>
      </w:r>
      <w:r w:rsidR="00BE4BD5">
        <w:rPr>
          <w:b/>
          <w:bCs/>
        </w:rPr>
        <w:t>d</w:t>
      </w:r>
      <w:r w:rsidR="00433CA5">
        <w:rPr>
          <w:b/>
          <w:bCs/>
        </w:rPr>
        <w:t xml:space="preserve"> improved affordability</w:t>
      </w:r>
      <w:r w:rsidRPr="00684E61">
        <w:rPr>
          <w:b/>
          <w:bCs/>
        </w:rPr>
        <w:t xml:space="preserve">, but further </w:t>
      </w:r>
      <w:r w:rsidR="00D40074">
        <w:rPr>
          <w:b/>
          <w:bCs/>
        </w:rPr>
        <w:t>benefits</w:t>
      </w:r>
      <w:r w:rsidRPr="00684E61">
        <w:rPr>
          <w:b/>
          <w:bCs/>
        </w:rPr>
        <w:t xml:space="preserve"> may be limited</w:t>
      </w:r>
      <w:r w:rsidRPr="00E16ED0">
        <w:rPr>
          <w:b/>
          <w:bCs/>
        </w:rPr>
        <w:t xml:space="preserve"> </w:t>
      </w:r>
      <w:r>
        <w:rPr>
          <w:b/>
          <w:bCs/>
        </w:rPr>
        <w:t xml:space="preserve"> </w:t>
      </w:r>
      <w:r w:rsidRPr="00E16ED0">
        <w:t xml:space="preserve"> </w:t>
      </w:r>
    </w:p>
    <w:p w14:paraId="3AFCDB41" w14:textId="656F6046" w:rsidR="003D3C21" w:rsidRPr="00973525" w:rsidRDefault="007B10A7" w:rsidP="00CC7355">
      <w:pPr>
        <w:pStyle w:val="BodyText"/>
      </w:pPr>
      <w:r w:rsidRPr="007B10A7">
        <w:t xml:space="preserve">Nationally, </w:t>
      </w:r>
      <w:r w:rsidR="00973525" w:rsidRPr="00973525">
        <w:t xml:space="preserve">rental affordability improved by </w:t>
      </w:r>
      <w:r w:rsidR="00973525" w:rsidRPr="003D30B0">
        <w:t xml:space="preserve">4.2% annually to </w:t>
      </w:r>
      <w:r w:rsidR="00DF04E3">
        <w:t xml:space="preserve">the end of </w:t>
      </w:r>
      <w:r w:rsidR="00973525" w:rsidRPr="003D30B0">
        <w:t xml:space="preserve">March 2026, </w:t>
      </w:r>
      <w:r w:rsidR="00973525" w:rsidRPr="00973525">
        <w:t xml:space="preserve">although the pace of </w:t>
      </w:r>
      <w:r w:rsidR="00CA6366">
        <w:t>progress</w:t>
      </w:r>
      <w:r w:rsidR="00973525" w:rsidRPr="00973525">
        <w:t xml:space="preserve"> is beginning to level off as rental price</w:t>
      </w:r>
      <w:r w:rsidR="004C49E0">
        <w:t xml:space="preserve">s </w:t>
      </w:r>
      <w:r w:rsidR="001A35EC">
        <w:t xml:space="preserve">start to </w:t>
      </w:r>
      <w:r w:rsidR="003F7B28">
        <w:t>lift</w:t>
      </w:r>
      <w:r w:rsidR="00973525" w:rsidRPr="00973525">
        <w:t>.</w:t>
      </w:r>
      <w:r w:rsidR="00912706">
        <w:rPr>
          <w:rStyle w:val="FootnoteReference"/>
        </w:rPr>
        <w:footnoteReference w:id="10"/>
      </w:r>
      <w:r w:rsidR="00973525" w:rsidRPr="00973525">
        <w:t xml:space="preserve"> Across most North Island regions, rental affordability continued to improve, including in </w:t>
      </w:r>
      <w:r w:rsidR="00973525" w:rsidRPr="003D30B0">
        <w:t xml:space="preserve">Wellington and Waikato, while Auckland appears to be </w:t>
      </w:r>
      <w:r w:rsidR="0095678C" w:rsidRPr="003D30B0">
        <w:t>steadying</w:t>
      </w:r>
      <w:r w:rsidR="00973525" w:rsidRPr="003D30B0">
        <w:t xml:space="preserve"> after a period of improvement. In Canterbury,</w:t>
      </w:r>
      <w:r w:rsidR="00973525" w:rsidRPr="00973525">
        <w:t xml:space="preserve"> rental affordability has remained relatively stable, with annual improvements ranging between 2% and 4% over the past year.</w:t>
      </w:r>
      <w:r w:rsidR="00CC7355">
        <w:rPr>
          <w:rStyle w:val="FootnoteReference"/>
        </w:rPr>
        <w:footnoteReference w:id="11"/>
      </w:r>
      <w:r w:rsidR="00C27A37">
        <w:t xml:space="preserve"> </w:t>
      </w:r>
    </w:p>
    <w:p w14:paraId="46207518" w14:textId="6452F255" w:rsidR="00DE35E6" w:rsidRPr="00DE35E6" w:rsidRDefault="000C2C0C" w:rsidP="00DE35E6">
      <w:pPr>
        <w:pStyle w:val="BodyText"/>
      </w:pPr>
      <w:r>
        <w:t>Through to</w:t>
      </w:r>
      <w:r w:rsidR="00FC5D65">
        <w:t xml:space="preserve"> March 2026</w:t>
      </w:r>
      <w:r w:rsidR="00853DA5">
        <w:t>, i</w:t>
      </w:r>
      <w:r w:rsidR="00973525" w:rsidRPr="00973525">
        <w:t xml:space="preserve">mprovements in </w:t>
      </w:r>
      <w:r w:rsidR="00A65F14">
        <w:t xml:space="preserve">rental affordability in </w:t>
      </w:r>
      <w:r w:rsidR="00973525" w:rsidRPr="00973525">
        <w:t xml:space="preserve">Wellington and Auckland have been supported by falling rents for new tenancies, while in Waikato and Canterbury they have been driven by slower growth in rental prices. </w:t>
      </w:r>
      <w:r w:rsidR="007B315C">
        <w:t>M</w:t>
      </w:r>
      <w:r w:rsidR="00973525" w:rsidRPr="00973525">
        <w:t>uch of the affordability relief experienced by renters through 2025 is expected to persist</w:t>
      </w:r>
      <w:r w:rsidR="00802E43">
        <w:t xml:space="preserve"> supported by </w:t>
      </w:r>
      <w:r w:rsidR="00306E11">
        <w:t>wage increases</w:t>
      </w:r>
      <w:r w:rsidR="006907DD">
        <w:t xml:space="preserve"> and </w:t>
      </w:r>
      <w:r w:rsidR="00355B10">
        <w:t>slow rental growth</w:t>
      </w:r>
      <w:r w:rsidR="00973525" w:rsidRPr="00973525">
        <w:t xml:space="preserve">, but further </w:t>
      </w:r>
      <w:r w:rsidR="00E87502">
        <w:t>improvements</w:t>
      </w:r>
      <w:r w:rsidR="00973525" w:rsidRPr="00973525">
        <w:t xml:space="preserve"> are likely to be more limited. </w:t>
      </w:r>
      <w:r w:rsidR="00DE35E6" w:rsidRPr="00DE35E6">
        <w:t>The June 2026 quarter</w:t>
      </w:r>
      <w:r w:rsidR="0045088B">
        <w:t xml:space="preserve"> rental affordability data</w:t>
      </w:r>
      <w:r w:rsidR="00183748">
        <w:t xml:space="preserve">, available </w:t>
      </w:r>
      <w:r w:rsidR="00D21E91">
        <w:t>i</w:t>
      </w:r>
      <w:r w:rsidR="00236310">
        <w:t>n</w:t>
      </w:r>
      <w:r w:rsidR="00EC49F8">
        <w:t xml:space="preserve"> </w:t>
      </w:r>
      <w:r w:rsidR="008705FF">
        <w:t>September,</w:t>
      </w:r>
      <w:r w:rsidR="00DE35E6" w:rsidRPr="00DE35E6">
        <w:t xml:space="preserve"> is expected to reflect this moderation</w:t>
      </w:r>
      <w:r w:rsidR="00DE35E6">
        <w:t>.</w:t>
      </w:r>
    </w:p>
    <w:p w14:paraId="41415876" w14:textId="77777777" w:rsidR="0022590C" w:rsidRPr="00640833" w:rsidRDefault="0022590C" w:rsidP="0022590C">
      <w:pPr>
        <w:pStyle w:val="Heading2"/>
        <w:rPr>
          <w:color w:val="003E52"/>
          <w:szCs w:val="36"/>
        </w:rPr>
      </w:pPr>
      <w:bookmarkStart w:id="25" w:name="_Toc234687968"/>
      <w:bookmarkStart w:id="26" w:name="_Toc234688192"/>
      <w:bookmarkStart w:id="27" w:name="_Toc235108983"/>
      <w:r w:rsidRPr="007600E3">
        <w:t>Outlook</w:t>
      </w:r>
      <w:bookmarkEnd w:id="25"/>
      <w:bookmarkEnd w:id="26"/>
      <w:bookmarkEnd w:id="27"/>
    </w:p>
    <w:p w14:paraId="0941681D" w14:textId="21FACCB0" w:rsidR="00035F15" w:rsidRPr="000F4CE4" w:rsidRDefault="00BE1839" w:rsidP="00E80B90">
      <w:pPr>
        <w:pStyle w:val="BodyText"/>
      </w:pPr>
      <w:r w:rsidRPr="00BE1839">
        <w:t>The rental market appears to be moving past its low point, with rental inflation expected to remain low but positive through the second half of 2026. Elevated housing supply</w:t>
      </w:r>
      <w:r w:rsidR="00A85AE5" w:rsidRPr="00A85AE5">
        <w:t xml:space="preserve"> and </w:t>
      </w:r>
      <w:r w:rsidR="002023C6">
        <w:t>slower wage growth</w:t>
      </w:r>
      <w:r w:rsidRPr="00BE1839">
        <w:t xml:space="preserve"> should keep rent growth modest</w:t>
      </w:r>
      <w:r w:rsidR="00A85AE5" w:rsidRPr="00A85AE5">
        <w:t>, even as net migration gradually lifts demand</w:t>
      </w:r>
      <w:r w:rsidRPr="00BE1839">
        <w:t>. Regional differences are also narrowing, as moderate growth in the South Island is increasingly matched by rising rents for new tenancies in North Island regions. As a result, rental affordability is unlikely to improve much further, although a sharp acceleration in rents appears unlikely in the near term.</w:t>
      </w:r>
      <w:bookmarkStart w:id="28" w:name="_Toc235108984"/>
    </w:p>
    <w:p w14:paraId="3E3D63E6" w14:textId="43A76E5B" w:rsidR="009B5D27" w:rsidRDefault="009B5D27" w:rsidP="009B5D27">
      <w:pPr>
        <w:pStyle w:val="Heading1"/>
      </w:pPr>
      <w:r>
        <w:lastRenderedPageBreak/>
        <w:t>Property market</w:t>
      </w:r>
      <w:bookmarkEnd w:id="28"/>
    </w:p>
    <w:p w14:paraId="21B573C1" w14:textId="77777777" w:rsidR="009B5D27" w:rsidRDefault="009B5D27" w:rsidP="009B5D27">
      <w:pPr>
        <w:pStyle w:val="Heading2"/>
      </w:pPr>
      <w:bookmarkStart w:id="29" w:name="_Toc234687970"/>
      <w:bookmarkStart w:id="30" w:name="_Toc234688194"/>
      <w:bookmarkStart w:id="31" w:name="_Toc235108985"/>
      <w:r>
        <w:t>Situation</w:t>
      </w:r>
      <w:bookmarkEnd w:id="29"/>
      <w:bookmarkEnd w:id="30"/>
      <w:bookmarkEnd w:id="31"/>
    </w:p>
    <w:p w14:paraId="6EBD6D9A" w14:textId="6153CAF1" w:rsidR="009E05C4" w:rsidRPr="009E05C4" w:rsidRDefault="009E05C4" w:rsidP="000566BC">
      <w:pPr>
        <w:rPr>
          <w:rFonts w:cs="Calibri"/>
          <w:b/>
          <w:bCs/>
        </w:rPr>
      </w:pPr>
      <w:r w:rsidRPr="009E05C4">
        <w:rPr>
          <w:rFonts w:cs="Calibri"/>
          <w:b/>
          <w:bCs/>
        </w:rPr>
        <w:t xml:space="preserve">Offsetting </w:t>
      </w:r>
      <w:r>
        <w:rPr>
          <w:rFonts w:cs="Calibri"/>
          <w:b/>
          <w:bCs/>
        </w:rPr>
        <w:t>r</w:t>
      </w:r>
      <w:r w:rsidRPr="009E05C4">
        <w:rPr>
          <w:rFonts w:cs="Calibri"/>
          <w:b/>
          <w:bCs/>
        </w:rPr>
        <w:t xml:space="preserve">egional </w:t>
      </w:r>
      <w:r>
        <w:rPr>
          <w:rFonts w:cs="Calibri"/>
          <w:b/>
          <w:bCs/>
        </w:rPr>
        <w:t>t</w:t>
      </w:r>
      <w:r w:rsidRPr="009E05C4">
        <w:rPr>
          <w:rFonts w:cs="Calibri"/>
          <w:b/>
          <w:bCs/>
        </w:rPr>
        <w:t xml:space="preserve">rends </w:t>
      </w:r>
      <w:r>
        <w:rPr>
          <w:rFonts w:cs="Calibri"/>
          <w:b/>
          <w:bCs/>
        </w:rPr>
        <w:t>k</w:t>
      </w:r>
      <w:r w:rsidRPr="009E05C4">
        <w:rPr>
          <w:rFonts w:cs="Calibri"/>
          <w:b/>
          <w:bCs/>
        </w:rPr>
        <w:t xml:space="preserve">eep </w:t>
      </w:r>
      <w:r>
        <w:rPr>
          <w:rFonts w:cs="Calibri"/>
          <w:b/>
          <w:bCs/>
        </w:rPr>
        <w:t>n</w:t>
      </w:r>
      <w:r w:rsidRPr="009E05C4">
        <w:rPr>
          <w:rFonts w:cs="Calibri"/>
          <w:b/>
          <w:bCs/>
        </w:rPr>
        <w:t xml:space="preserve">ational </w:t>
      </w:r>
      <w:r>
        <w:rPr>
          <w:rFonts w:cs="Calibri"/>
          <w:b/>
          <w:bCs/>
        </w:rPr>
        <w:t>g</w:t>
      </w:r>
      <w:r w:rsidRPr="009E05C4">
        <w:rPr>
          <w:rFonts w:cs="Calibri"/>
          <w:b/>
          <w:bCs/>
        </w:rPr>
        <w:t xml:space="preserve">rowth </w:t>
      </w:r>
      <w:r>
        <w:rPr>
          <w:rFonts w:cs="Calibri"/>
          <w:b/>
          <w:bCs/>
        </w:rPr>
        <w:t>f</w:t>
      </w:r>
      <w:r w:rsidRPr="009E05C4">
        <w:rPr>
          <w:rFonts w:cs="Calibri"/>
          <w:b/>
          <w:bCs/>
        </w:rPr>
        <w:t>lat</w:t>
      </w:r>
    </w:p>
    <w:p w14:paraId="17E76983" w14:textId="38EAD8D8" w:rsidR="000566BC" w:rsidRPr="007F2A88" w:rsidRDefault="00300FE7" w:rsidP="004E7F3C">
      <w:pPr>
        <w:jc w:val="left"/>
        <w:rPr>
          <w:rFonts w:cs="Calibri"/>
        </w:rPr>
      </w:pPr>
      <w:r w:rsidRPr="00300FE7">
        <w:rPr>
          <w:rFonts w:cs="Calibri"/>
        </w:rPr>
        <w:t xml:space="preserve">At the national level, house prices have been broadly flat over the past two years following the decline from their December 2021 peak. By the March 2026 quarter, average house prices had returned to </w:t>
      </w:r>
      <w:r w:rsidR="004F49B7">
        <w:rPr>
          <w:rFonts w:cs="Calibri"/>
        </w:rPr>
        <w:t xml:space="preserve">their </w:t>
      </w:r>
      <w:r w:rsidRPr="00300FE7">
        <w:rPr>
          <w:rFonts w:cs="Calibri"/>
        </w:rPr>
        <w:t>March 2021 levels, unwinding much of the late COVID hous</w:t>
      </w:r>
      <w:r w:rsidR="00D834B4">
        <w:rPr>
          <w:rFonts w:cs="Calibri"/>
        </w:rPr>
        <w:t xml:space="preserve">e price </w:t>
      </w:r>
      <w:r w:rsidR="006E06FD">
        <w:rPr>
          <w:rFonts w:cs="Calibri"/>
        </w:rPr>
        <w:t>hike</w:t>
      </w:r>
      <w:r w:rsidRPr="00300FE7">
        <w:rPr>
          <w:rFonts w:cs="Calibri"/>
        </w:rPr>
        <w:t>. However, prices remain around 26% above pre-COVID level</w:t>
      </w:r>
      <w:r w:rsidR="000566BC" w:rsidRPr="007F2A88">
        <w:rPr>
          <w:rFonts w:cs="Calibri"/>
        </w:rPr>
        <w:t>.</w:t>
      </w:r>
    </w:p>
    <w:p w14:paraId="23C787DB" w14:textId="2F373E84" w:rsidR="000566BC" w:rsidRPr="004B3D80" w:rsidRDefault="004B3D80" w:rsidP="004E7F3C">
      <w:pPr>
        <w:jc w:val="left"/>
        <w:rPr>
          <w:rFonts w:asciiTheme="minorHAnsi" w:hAnsiTheme="minorHAnsi" w:cstheme="minorHAnsi"/>
        </w:rPr>
      </w:pPr>
      <w:r w:rsidRPr="004B3D80">
        <w:rPr>
          <w:rFonts w:asciiTheme="minorHAnsi" w:hAnsiTheme="minorHAnsi" w:cstheme="minorHAnsi"/>
        </w:rPr>
        <w:t>Over the year to June 2026, house prices declined 0.8% nationally, largely reflecting falls in Auckland (-3.0%) and Wellington (-4.5%) and growth in Canterbury (4.1%), Otago (4.3%), and Southland (8.6%).</w:t>
      </w:r>
      <w:r>
        <w:rPr>
          <w:rStyle w:val="FootnoteReference"/>
          <w:rFonts w:cstheme="minorHAnsi"/>
        </w:rPr>
        <w:footnoteReference w:id="12"/>
      </w:r>
      <w:r>
        <w:rPr>
          <w:rFonts w:asciiTheme="minorHAnsi" w:hAnsiTheme="minorHAnsi" w:cstheme="minorHAnsi"/>
        </w:rPr>
        <w:t xml:space="preserve"> </w:t>
      </w:r>
      <w:r w:rsidR="00F5523A" w:rsidRPr="00F5523A">
        <w:rPr>
          <w:rFonts w:cs="Calibri"/>
        </w:rPr>
        <w:t>In the South Island</w:t>
      </w:r>
      <w:r w:rsidR="00074710">
        <w:rPr>
          <w:rFonts w:cs="Calibri"/>
        </w:rPr>
        <w:t xml:space="preserve"> c</w:t>
      </w:r>
      <w:r w:rsidR="00360ACE">
        <w:rPr>
          <w:rFonts w:cs="Calibri"/>
        </w:rPr>
        <w:t>ontinue</w:t>
      </w:r>
      <w:r w:rsidR="00A042DA">
        <w:rPr>
          <w:rFonts w:cs="Calibri"/>
        </w:rPr>
        <w:t>d</w:t>
      </w:r>
      <w:r w:rsidR="00360ACE">
        <w:rPr>
          <w:rFonts w:cs="Calibri"/>
        </w:rPr>
        <w:t xml:space="preserve"> growth</w:t>
      </w:r>
      <w:r w:rsidR="2276F1A6" w:rsidRPr="77C652AE">
        <w:rPr>
          <w:rFonts w:cs="Calibri"/>
        </w:rPr>
        <w:t>,</w:t>
      </w:r>
      <w:r w:rsidR="00360ACE">
        <w:rPr>
          <w:rFonts w:cs="Calibri"/>
        </w:rPr>
        <w:t xml:space="preserve"> albeit at </w:t>
      </w:r>
      <w:r w:rsidR="1FD8DBF1" w:rsidRPr="77C652AE">
        <w:rPr>
          <w:rFonts w:cs="Calibri"/>
        </w:rPr>
        <w:t>a</w:t>
      </w:r>
      <w:r w:rsidR="6856CB90" w:rsidRPr="77C652AE">
        <w:rPr>
          <w:rFonts w:cs="Calibri"/>
        </w:rPr>
        <w:t xml:space="preserve"> </w:t>
      </w:r>
      <w:r w:rsidR="00360ACE">
        <w:rPr>
          <w:rFonts w:cs="Calibri"/>
        </w:rPr>
        <w:t>lower</w:t>
      </w:r>
      <w:r w:rsidR="00097552">
        <w:rPr>
          <w:rFonts w:cs="Calibri"/>
        </w:rPr>
        <w:t xml:space="preserve"> rate</w:t>
      </w:r>
      <w:r w:rsidR="00074710">
        <w:rPr>
          <w:rFonts w:cs="Calibri"/>
        </w:rPr>
        <w:t xml:space="preserve"> of </w:t>
      </w:r>
      <w:r w:rsidR="00074710" w:rsidRPr="00F5523A">
        <w:rPr>
          <w:rFonts w:cs="Calibri"/>
        </w:rPr>
        <w:t>2–5%</w:t>
      </w:r>
      <w:r w:rsidR="00074710">
        <w:rPr>
          <w:rFonts w:cs="Calibri"/>
        </w:rPr>
        <w:t xml:space="preserve"> annual growth</w:t>
      </w:r>
      <w:r w:rsidR="44003E16" w:rsidRPr="77C652AE">
        <w:rPr>
          <w:rFonts w:cs="Calibri"/>
        </w:rPr>
        <w:t>,</w:t>
      </w:r>
      <w:r w:rsidR="00A042DA">
        <w:rPr>
          <w:rFonts w:cs="Calibri"/>
        </w:rPr>
        <w:t xml:space="preserve"> supported</w:t>
      </w:r>
      <w:r w:rsidR="00F47463">
        <w:rPr>
          <w:rFonts w:cs="Calibri"/>
        </w:rPr>
        <w:t xml:space="preserve"> by stronger economies </w:t>
      </w:r>
      <w:r w:rsidR="005C3112">
        <w:rPr>
          <w:rFonts w:cs="Calibri"/>
        </w:rPr>
        <w:t xml:space="preserve">and sustained demand </w:t>
      </w:r>
      <w:r w:rsidR="00986CD2">
        <w:rPr>
          <w:rFonts w:cs="Calibri"/>
        </w:rPr>
        <w:t>meant</w:t>
      </w:r>
      <w:r w:rsidR="00483334">
        <w:rPr>
          <w:rFonts w:cs="Calibri"/>
        </w:rPr>
        <w:t xml:space="preserve"> </w:t>
      </w:r>
      <w:r w:rsidR="0056254F">
        <w:rPr>
          <w:rFonts w:cs="Calibri"/>
        </w:rPr>
        <w:t xml:space="preserve">on </w:t>
      </w:r>
      <w:r w:rsidR="006B064F">
        <w:rPr>
          <w:rFonts w:cs="Calibri"/>
        </w:rPr>
        <w:t>average</w:t>
      </w:r>
      <w:r w:rsidR="00322044">
        <w:rPr>
          <w:rFonts w:cs="Calibri"/>
        </w:rPr>
        <w:t>,</w:t>
      </w:r>
      <w:r w:rsidR="006B064F">
        <w:rPr>
          <w:rFonts w:cs="Calibri"/>
        </w:rPr>
        <w:t xml:space="preserve"> price</w:t>
      </w:r>
      <w:r w:rsidR="00074710">
        <w:rPr>
          <w:rFonts w:cs="Calibri"/>
        </w:rPr>
        <w:t>s</w:t>
      </w:r>
      <w:r w:rsidR="006B064F">
        <w:rPr>
          <w:rFonts w:cs="Calibri"/>
        </w:rPr>
        <w:t xml:space="preserve"> </w:t>
      </w:r>
      <w:r w:rsidR="00966555">
        <w:rPr>
          <w:rFonts w:cs="Calibri"/>
        </w:rPr>
        <w:t xml:space="preserve">remain </w:t>
      </w:r>
      <w:r w:rsidR="000F4C4C">
        <w:rPr>
          <w:rFonts w:cs="Calibri"/>
        </w:rPr>
        <w:t>above</w:t>
      </w:r>
      <w:r w:rsidR="00E61EBB">
        <w:rPr>
          <w:rFonts w:cs="Calibri"/>
        </w:rPr>
        <w:t xml:space="preserve"> th</w:t>
      </w:r>
      <w:r w:rsidR="00175740">
        <w:rPr>
          <w:rFonts w:cs="Calibri"/>
        </w:rPr>
        <w:t>ose</w:t>
      </w:r>
      <w:r w:rsidR="00322044">
        <w:rPr>
          <w:rFonts w:cs="Calibri"/>
        </w:rPr>
        <w:t xml:space="preserve"> reached</w:t>
      </w:r>
      <w:r w:rsidR="00904CAB">
        <w:rPr>
          <w:rFonts w:cs="Calibri"/>
        </w:rPr>
        <w:t xml:space="preserve"> during </w:t>
      </w:r>
      <w:r w:rsidR="00F5523A" w:rsidRPr="00F5523A">
        <w:rPr>
          <w:rFonts w:cs="Calibri"/>
        </w:rPr>
        <w:t>COVI</w:t>
      </w:r>
      <w:r w:rsidR="00BD4DAD">
        <w:rPr>
          <w:rFonts w:cs="Calibri"/>
        </w:rPr>
        <w:t>D</w:t>
      </w:r>
      <w:r w:rsidR="00F5523A" w:rsidRPr="00F5523A">
        <w:rPr>
          <w:rFonts w:cs="Calibri"/>
        </w:rPr>
        <w:t xml:space="preserve">. In contrast, </w:t>
      </w:r>
      <w:r w:rsidR="00F45A04">
        <w:rPr>
          <w:rFonts w:cs="Calibri"/>
        </w:rPr>
        <w:t xml:space="preserve">prices in the </w:t>
      </w:r>
      <w:r w:rsidR="00F5523A" w:rsidRPr="00F5523A">
        <w:rPr>
          <w:rFonts w:cs="Calibri"/>
        </w:rPr>
        <w:t xml:space="preserve">North Island </w:t>
      </w:r>
      <w:r w:rsidR="00F45A04">
        <w:rPr>
          <w:rFonts w:cs="Calibri"/>
        </w:rPr>
        <w:t>have declined</w:t>
      </w:r>
      <w:r w:rsidR="00C407B5" w:rsidRPr="00C407B5">
        <w:rPr>
          <w:rFonts w:cs="Calibri"/>
        </w:rPr>
        <w:t xml:space="preserve"> </w:t>
      </w:r>
      <w:r w:rsidR="00C407B5" w:rsidRPr="00F5523A">
        <w:rPr>
          <w:rFonts w:cs="Calibri"/>
        </w:rPr>
        <w:t>to around 2020 levels</w:t>
      </w:r>
      <w:r w:rsidR="00C407B5">
        <w:rPr>
          <w:rFonts w:cs="Calibri"/>
        </w:rPr>
        <w:t>, below the COVID peak. D</w:t>
      </w:r>
      <w:r w:rsidR="005C3112">
        <w:rPr>
          <w:rFonts w:cs="Calibri"/>
        </w:rPr>
        <w:t>rive</w:t>
      </w:r>
      <w:r w:rsidR="00DA11A1">
        <w:rPr>
          <w:rFonts w:cs="Calibri"/>
        </w:rPr>
        <w:t xml:space="preserve">n by </w:t>
      </w:r>
      <w:r w:rsidR="00D72BDD">
        <w:rPr>
          <w:rFonts w:cs="Calibri"/>
        </w:rPr>
        <w:t>lower demand</w:t>
      </w:r>
      <w:r w:rsidR="00196BF4">
        <w:rPr>
          <w:rFonts w:cs="Calibri"/>
        </w:rPr>
        <w:t xml:space="preserve"> and </w:t>
      </w:r>
      <w:r w:rsidR="005145C1">
        <w:rPr>
          <w:rFonts w:cs="Calibri"/>
        </w:rPr>
        <w:t xml:space="preserve">increase in </w:t>
      </w:r>
      <w:r w:rsidR="00A80798">
        <w:rPr>
          <w:rFonts w:cs="Calibri"/>
        </w:rPr>
        <w:t>housing supply</w:t>
      </w:r>
      <w:r w:rsidR="005145C1">
        <w:rPr>
          <w:rFonts w:cs="Calibri"/>
        </w:rPr>
        <w:t xml:space="preserve"> during </w:t>
      </w:r>
      <w:r w:rsidR="000C7EF7">
        <w:rPr>
          <w:rFonts w:cs="Calibri"/>
        </w:rPr>
        <w:t>the</w:t>
      </w:r>
      <w:r w:rsidR="005145C1">
        <w:rPr>
          <w:rFonts w:cs="Calibri"/>
        </w:rPr>
        <w:t xml:space="preserve"> boom</w:t>
      </w:r>
      <w:r w:rsidR="0054092B">
        <w:rPr>
          <w:rFonts w:cs="Calibri"/>
        </w:rPr>
        <w:t>.</w:t>
      </w:r>
      <w:r w:rsidR="00180790">
        <w:rPr>
          <w:rFonts w:cs="Calibri"/>
        </w:rPr>
        <w:t xml:space="preserve"> </w:t>
      </w:r>
    </w:p>
    <w:p w14:paraId="15554231" w14:textId="464811A9" w:rsidR="003B6660" w:rsidRPr="00472371" w:rsidRDefault="003B6660" w:rsidP="004E7F3C">
      <w:pPr>
        <w:jc w:val="left"/>
        <w:rPr>
          <w:rFonts w:asciiTheme="minorHAnsi" w:hAnsiTheme="minorHAnsi" w:cstheme="minorHAnsi"/>
          <w:b/>
          <w:bCs/>
        </w:rPr>
      </w:pPr>
      <w:r w:rsidRPr="00472371">
        <w:rPr>
          <w:rFonts w:asciiTheme="minorHAnsi" w:hAnsiTheme="minorHAnsi" w:cstheme="minorHAnsi"/>
          <w:b/>
          <w:bCs/>
        </w:rPr>
        <w:t xml:space="preserve">House </w:t>
      </w:r>
      <w:r w:rsidR="00472371">
        <w:rPr>
          <w:rFonts w:asciiTheme="minorHAnsi" w:hAnsiTheme="minorHAnsi" w:cstheme="minorHAnsi"/>
          <w:b/>
          <w:bCs/>
        </w:rPr>
        <w:t>p</w:t>
      </w:r>
      <w:r w:rsidRPr="00472371">
        <w:rPr>
          <w:rFonts w:asciiTheme="minorHAnsi" w:hAnsiTheme="minorHAnsi" w:cstheme="minorHAnsi"/>
          <w:b/>
          <w:bCs/>
        </w:rPr>
        <w:t>rices in the North</w:t>
      </w:r>
      <w:r w:rsidR="00D60A49">
        <w:rPr>
          <w:rFonts w:asciiTheme="minorHAnsi" w:hAnsiTheme="minorHAnsi" w:cstheme="minorHAnsi"/>
          <w:b/>
          <w:bCs/>
        </w:rPr>
        <w:t xml:space="preserve"> </w:t>
      </w:r>
      <w:r w:rsidR="00A44720">
        <w:rPr>
          <w:rFonts w:asciiTheme="minorHAnsi" w:hAnsiTheme="minorHAnsi" w:cstheme="minorHAnsi"/>
          <w:b/>
          <w:bCs/>
        </w:rPr>
        <w:t>Island</w:t>
      </w:r>
      <w:r w:rsidR="00D60A49">
        <w:rPr>
          <w:rFonts w:asciiTheme="minorHAnsi" w:hAnsiTheme="minorHAnsi" w:cstheme="minorHAnsi"/>
          <w:b/>
          <w:bCs/>
        </w:rPr>
        <w:t xml:space="preserve"> and</w:t>
      </w:r>
      <w:r w:rsidRPr="00472371">
        <w:rPr>
          <w:rFonts w:asciiTheme="minorHAnsi" w:hAnsiTheme="minorHAnsi" w:cstheme="minorHAnsi"/>
          <w:b/>
          <w:bCs/>
        </w:rPr>
        <w:t xml:space="preserve"> </w:t>
      </w:r>
      <w:r w:rsidR="00472371">
        <w:rPr>
          <w:rFonts w:asciiTheme="minorHAnsi" w:hAnsiTheme="minorHAnsi" w:cstheme="minorHAnsi"/>
          <w:b/>
          <w:bCs/>
        </w:rPr>
        <w:t>i</w:t>
      </w:r>
      <w:r w:rsidRPr="00472371">
        <w:rPr>
          <w:rFonts w:asciiTheme="minorHAnsi" w:hAnsiTheme="minorHAnsi" w:cstheme="minorHAnsi"/>
          <w:b/>
          <w:bCs/>
        </w:rPr>
        <w:t xml:space="preserve">ncome </w:t>
      </w:r>
      <w:r w:rsidR="00472371">
        <w:rPr>
          <w:rFonts w:asciiTheme="minorHAnsi" w:hAnsiTheme="minorHAnsi" w:cstheme="minorHAnsi"/>
          <w:b/>
          <w:bCs/>
        </w:rPr>
        <w:t>g</w:t>
      </w:r>
      <w:r w:rsidRPr="00472371">
        <w:rPr>
          <w:rFonts w:asciiTheme="minorHAnsi" w:hAnsiTheme="minorHAnsi" w:cstheme="minorHAnsi"/>
          <w:b/>
          <w:bCs/>
        </w:rPr>
        <w:t>rowth in the South</w:t>
      </w:r>
      <w:r w:rsidR="00D60A49">
        <w:rPr>
          <w:rFonts w:asciiTheme="minorHAnsi" w:hAnsiTheme="minorHAnsi" w:cstheme="minorHAnsi"/>
          <w:b/>
          <w:bCs/>
        </w:rPr>
        <w:t xml:space="preserve"> </w:t>
      </w:r>
      <w:r w:rsidR="00A44720">
        <w:rPr>
          <w:rFonts w:asciiTheme="minorHAnsi" w:hAnsiTheme="minorHAnsi" w:cstheme="minorHAnsi"/>
          <w:b/>
          <w:bCs/>
        </w:rPr>
        <w:t>Island</w:t>
      </w:r>
      <w:r w:rsidR="00D60A49">
        <w:rPr>
          <w:rFonts w:asciiTheme="minorHAnsi" w:hAnsiTheme="minorHAnsi" w:cstheme="minorHAnsi"/>
          <w:b/>
          <w:bCs/>
        </w:rPr>
        <w:t xml:space="preserve"> </w:t>
      </w:r>
      <w:r w:rsidR="00560AC5">
        <w:rPr>
          <w:rFonts w:asciiTheme="minorHAnsi" w:hAnsiTheme="minorHAnsi" w:cstheme="minorHAnsi"/>
          <w:b/>
          <w:bCs/>
        </w:rPr>
        <w:t>d</w:t>
      </w:r>
      <w:r w:rsidR="00560AC5" w:rsidRPr="00472371">
        <w:rPr>
          <w:rFonts w:asciiTheme="minorHAnsi" w:hAnsiTheme="minorHAnsi" w:cstheme="minorHAnsi"/>
          <w:b/>
          <w:bCs/>
        </w:rPr>
        <w:t xml:space="preserve">rive </w:t>
      </w:r>
      <w:r w:rsidR="00560AC5">
        <w:rPr>
          <w:rFonts w:asciiTheme="minorHAnsi" w:hAnsiTheme="minorHAnsi" w:cstheme="minorHAnsi"/>
          <w:b/>
          <w:bCs/>
        </w:rPr>
        <w:t>a</w:t>
      </w:r>
      <w:r w:rsidR="00560AC5" w:rsidRPr="00472371">
        <w:rPr>
          <w:rFonts w:asciiTheme="minorHAnsi" w:hAnsiTheme="minorHAnsi" w:cstheme="minorHAnsi"/>
          <w:b/>
          <w:bCs/>
        </w:rPr>
        <w:t xml:space="preserve">ffordability </w:t>
      </w:r>
    </w:p>
    <w:p w14:paraId="274C8B3E" w14:textId="1C69D325" w:rsidR="000566BC" w:rsidRDefault="00602510" w:rsidP="004E7F3C">
      <w:pPr>
        <w:jc w:val="left"/>
        <w:rPr>
          <w:rFonts w:cs="Calibri"/>
        </w:rPr>
      </w:pPr>
      <w:r w:rsidRPr="6691EEFF">
        <w:rPr>
          <w:rFonts w:asciiTheme="minorHAnsi" w:hAnsiTheme="minorHAnsi"/>
        </w:rPr>
        <w:t>D</w:t>
      </w:r>
      <w:r w:rsidR="000566BC" w:rsidRPr="6691EEFF">
        <w:rPr>
          <w:rFonts w:asciiTheme="minorHAnsi" w:hAnsiTheme="minorHAnsi"/>
        </w:rPr>
        <w:t xml:space="preserve">iffering </w:t>
      </w:r>
      <w:r w:rsidR="00306842" w:rsidRPr="6691EEFF">
        <w:rPr>
          <w:rFonts w:asciiTheme="minorHAnsi" w:hAnsiTheme="minorHAnsi"/>
        </w:rPr>
        <w:t xml:space="preserve">regional </w:t>
      </w:r>
      <w:r w:rsidR="000566BC" w:rsidRPr="6691EEFF">
        <w:rPr>
          <w:rFonts w:asciiTheme="minorHAnsi" w:hAnsiTheme="minorHAnsi"/>
        </w:rPr>
        <w:t>trends have</w:t>
      </w:r>
      <w:r w:rsidR="000566BC" w:rsidRPr="007F2A88">
        <w:rPr>
          <w:rFonts w:cs="Calibri"/>
        </w:rPr>
        <w:t xml:space="preserve"> influenced housing affordability in different ways. In the North Island, improvements in deposit affordability have been driven primarily by declining house prices. In the South </w:t>
      </w:r>
      <w:r w:rsidR="00F21C4A" w:rsidRPr="007F2A88">
        <w:rPr>
          <w:rFonts w:cs="Calibri"/>
        </w:rPr>
        <w:t>Island</w:t>
      </w:r>
      <w:r w:rsidR="70D38631" w:rsidRPr="00B520EF">
        <w:rPr>
          <w:rFonts w:cs="Calibri"/>
        </w:rPr>
        <w:t>,</w:t>
      </w:r>
      <w:r w:rsidR="00F21C4A" w:rsidRPr="007F2A88">
        <w:rPr>
          <w:rFonts w:cs="Calibri"/>
        </w:rPr>
        <w:t xml:space="preserve"> improvements</w:t>
      </w:r>
      <w:r w:rsidR="000566BC" w:rsidRPr="007F2A88">
        <w:rPr>
          <w:rFonts w:cs="Calibri"/>
        </w:rPr>
        <w:t xml:space="preserve"> have largely been supported by income growth outpacing house price growth.</w:t>
      </w:r>
      <w:r w:rsidR="00B509D5">
        <w:rPr>
          <w:rFonts w:cs="Calibri"/>
        </w:rPr>
        <w:t xml:space="preserve"> </w:t>
      </w:r>
      <w:r w:rsidR="000566BC" w:rsidRPr="007F2A88">
        <w:rPr>
          <w:rFonts w:cs="Calibri"/>
        </w:rPr>
        <w:t>Mortgage serviceability has also improved across all regions, largely due to mortgage interest rate decline</w:t>
      </w:r>
      <w:r w:rsidR="00861768">
        <w:rPr>
          <w:rFonts w:cs="Calibri"/>
        </w:rPr>
        <w:t>s</w:t>
      </w:r>
      <w:r w:rsidR="000566BC" w:rsidRPr="007F2A88">
        <w:rPr>
          <w:rFonts w:cs="Calibri"/>
        </w:rPr>
        <w:t xml:space="preserve"> </w:t>
      </w:r>
      <w:r w:rsidR="00861768">
        <w:rPr>
          <w:rFonts w:cs="Calibri"/>
        </w:rPr>
        <w:t>since</w:t>
      </w:r>
      <w:r w:rsidR="00861768" w:rsidRPr="007F2A88">
        <w:rPr>
          <w:rFonts w:cs="Calibri"/>
        </w:rPr>
        <w:t xml:space="preserve"> </w:t>
      </w:r>
      <w:r w:rsidR="000566BC" w:rsidRPr="007F2A88">
        <w:rPr>
          <w:rFonts w:cs="Calibri"/>
        </w:rPr>
        <w:t xml:space="preserve">the June 2022 quarter. </w:t>
      </w:r>
      <w:r w:rsidR="00EA7EC2">
        <w:rPr>
          <w:rFonts w:cs="Calibri"/>
        </w:rPr>
        <w:t xml:space="preserve">The recent </w:t>
      </w:r>
      <w:r w:rsidR="007836F0">
        <w:rPr>
          <w:rFonts w:cs="Calibri"/>
        </w:rPr>
        <w:t>uptick in mortgage rates over</w:t>
      </w:r>
      <w:r w:rsidR="000566BC" w:rsidRPr="007F2A88">
        <w:rPr>
          <w:rFonts w:cs="Calibri"/>
        </w:rPr>
        <w:t xml:space="preserve"> the past few months</w:t>
      </w:r>
      <w:r w:rsidR="00D062B1">
        <w:rPr>
          <w:rFonts w:cs="Calibri"/>
        </w:rPr>
        <w:t xml:space="preserve"> has slowed the pace of</w:t>
      </w:r>
      <w:r w:rsidR="000566BC" w:rsidRPr="007F2A88">
        <w:rPr>
          <w:rFonts w:cs="Calibri"/>
        </w:rPr>
        <w:t xml:space="preserve"> </w:t>
      </w:r>
      <w:r w:rsidR="009C1971">
        <w:rPr>
          <w:rFonts w:cs="Calibri"/>
        </w:rPr>
        <w:t>serviceability</w:t>
      </w:r>
      <w:r w:rsidR="007D7012">
        <w:rPr>
          <w:rFonts w:cs="Calibri"/>
        </w:rPr>
        <w:t xml:space="preserve"> improvement</w:t>
      </w:r>
      <w:r w:rsidR="000566BC" w:rsidRPr="007F2A88">
        <w:rPr>
          <w:rFonts w:cs="Calibri"/>
        </w:rPr>
        <w:t>.</w:t>
      </w:r>
    </w:p>
    <w:p w14:paraId="5959A624" w14:textId="67A7529C" w:rsidR="0046771C" w:rsidRPr="00DA5B99" w:rsidRDefault="00EB400C" w:rsidP="004E7F3C">
      <w:pPr>
        <w:jc w:val="left"/>
        <w:rPr>
          <w:rFonts w:asciiTheme="minorHAnsi" w:hAnsiTheme="minorHAnsi" w:cstheme="minorHAnsi"/>
          <w:b/>
        </w:rPr>
      </w:pPr>
      <w:r w:rsidRPr="00DA5B99">
        <w:rPr>
          <w:rFonts w:asciiTheme="minorHAnsi" w:hAnsiTheme="minorHAnsi" w:cstheme="minorHAnsi"/>
          <w:b/>
        </w:rPr>
        <w:t xml:space="preserve">A buyer’s market: </w:t>
      </w:r>
      <w:r w:rsidR="0046771C" w:rsidRPr="00DA5B99">
        <w:rPr>
          <w:rFonts w:asciiTheme="minorHAnsi" w:hAnsiTheme="minorHAnsi" w:cstheme="minorHAnsi"/>
          <w:b/>
        </w:rPr>
        <w:t xml:space="preserve">Inventory </w:t>
      </w:r>
      <w:r w:rsidR="00817871" w:rsidRPr="00DA5B99">
        <w:rPr>
          <w:rFonts w:asciiTheme="minorHAnsi" w:hAnsiTheme="minorHAnsi" w:cstheme="minorHAnsi"/>
          <w:b/>
        </w:rPr>
        <w:t>a</w:t>
      </w:r>
      <w:r w:rsidR="0046771C" w:rsidRPr="00DA5B99">
        <w:rPr>
          <w:rFonts w:asciiTheme="minorHAnsi" w:hAnsiTheme="minorHAnsi" w:cstheme="minorHAnsi"/>
          <w:b/>
        </w:rPr>
        <w:t xml:space="preserve">ccumulates as </w:t>
      </w:r>
      <w:r w:rsidR="00817871" w:rsidRPr="00DA5B99">
        <w:rPr>
          <w:rFonts w:asciiTheme="minorHAnsi" w:hAnsiTheme="minorHAnsi" w:cstheme="minorHAnsi"/>
          <w:b/>
        </w:rPr>
        <w:t>l</w:t>
      </w:r>
      <w:r w:rsidR="0046771C" w:rsidRPr="00DA5B99">
        <w:rPr>
          <w:rFonts w:asciiTheme="minorHAnsi" w:hAnsiTheme="minorHAnsi" w:cstheme="minorHAnsi"/>
          <w:b/>
        </w:rPr>
        <w:t xml:space="preserve">istings </w:t>
      </w:r>
      <w:r w:rsidR="0066493E">
        <w:rPr>
          <w:rFonts w:asciiTheme="minorHAnsi" w:hAnsiTheme="minorHAnsi" w:cstheme="minorHAnsi"/>
          <w:b/>
        </w:rPr>
        <w:t xml:space="preserve">outpace </w:t>
      </w:r>
      <w:r w:rsidR="00817871" w:rsidRPr="00DA5B99">
        <w:rPr>
          <w:rFonts w:asciiTheme="minorHAnsi" w:hAnsiTheme="minorHAnsi" w:cstheme="minorHAnsi"/>
          <w:b/>
        </w:rPr>
        <w:t>s</w:t>
      </w:r>
      <w:r w:rsidR="0046771C" w:rsidRPr="00DA5B99">
        <w:rPr>
          <w:rFonts w:asciiTheme="minorHAnsi" w:hAnsiTheme="minorHAnsi" w:cstheme="minorHAnsi"/>
          <w:b/>
        </w:rPr>
        <w:t>ales</w:t>
      </w:r>
    </w:p>
    <w:p w14:paraId="132111E8" w14:textId="5E08308E" w:rsidR="007070CD" w:rsidRPr="00F1227D" w:rsidRDefault="0066493E" w:rsidP="004E7F3C">
      <w:pPr>
        <w:jc w:val="left"/>
        <w:rPr>
          <w:lang w:bidi="th-TH"/>
        </w:rPr>
      </w:pPr>
      <w:bookmarkStart w:id="32" w:name="_Toc234687971"/>
      <w:bookmarkStart w:id="33" w:name="_Toc234688195"/>
      <w:bookmarkStart w:id="34" w:name="_Toc235108986"/>
      <w:r w:rsidRPr="0066493E">
        <w:t>High listings and slower sales have shifted the market toward buyers and helped keep house prices flat. Active listings have more than doubled since the 2020–2021 boom, reaching 34,104 in 2026. Sales have recovered to more than 6,500 per month but remain below both boom levels and new listings of around 9,800 per month.</w:t>
      </w:r>
      <w:r w:rsidRPr="00A85CFF">
        <w:rPr>
          <w:rStyle w:val="FootnoteReference"/>
        </w:rPr>
        <w:t xml:space="preserve"> </w:t>
      </w:r>
      <w:r w:rsidR="00A85CFF">
        <w:rPr>
          <w:rStyle w:val="FootnoteReference"/>
        </w:rPr>
        <w:footnoteReference w:id="13"/>
      </w:r>
      <w:r w:rsidRPr="0066493E">
        <w:t xml:space="preserve"> As a result, the sales-to-listings ratio has fallen </w:t>
      </w:r>
      <w:r w:rsidR="00F76DD1">
        <w:t xml:space="preserve">from above 80% </w:t>
      </w:r>
      <w:r w:rsidRPr="0066493E">
        <w:t>to 67%, with 5.2 months of inventory, giving buyers more choice and limiting upward pressure on prices.</w:t>
      </w:r>
    </w:p>
    <w:p w14:paraId="7948F567" w14:textId="77777777" w:rsidR="009B5D27" w:rsidRDefault="009B5D27" w:rsidP="004E7F3C">
      <w:pPr>
        <w:pStyle w:val="Heading2"/>
      </w:pPr>
      <w:r>
        <w:t>Outlook</w:t>
      </w:r>
      <w:bookmarkEnd w:id="32"/>
      <w:bookmarkEnd w:id="33"/>
      <w:bookmarkEnd w:id="34"/>
    </w:p>
    <w:p w14:paraId="063C3E98" w14:textId="73D891F6" w:rsidR="009B5D27" w:rsidRPr="001A4381" w:rsidRDefault="00C50291" w:rsidP="004E7F3C">
      <w:pPr>
        <w:jc w:val="left"/>
        <w:rPr>
          <w:rFonts w:cs="Calibri"/>
        </w:rPr>
      </w:pPr>
      <w:r w:rsidRPr="00C50291">
        <w:rPr>
          <w:rFonts w:cs="Calibri"/>
        </w:rPr>
        <w:t xml:space="preserve">At the national level, contrasting regional trends are expected to keep </w:t>
      </w:r>
      <w:r w:rsidR="00F76423">
        <w:rPr>
          <w:rFonts w:cs="Calibri"/>
        </w:rPr>
        <w:t>national</w:t>
      </w:r>
      <w:r w:rsidR="00F76423" w:rsidRPr="00C50291">
        <w:rPr>
          <w:rFonts w:cs="Calibri"/>
        </w:rPr>
        <w:t xml:space="preserve"> </w:t>
      </w:r>
      <w:r w:rsidRPr="00C50291">
        <w:rPr>
          <w:rFonts w:cs="Calibri"/>
        </w:rPr>
        <w:t>house prices broadly flat</w:t>
      </w:r>
      <w:r w:rsidR="003E5C81">
        <w:rPr>
          <w:rFonts w:cs="Calibri"/>
        </w:rPr>
        <w:t xml:space="preserve"> u</w:t>
      </w:r>
      <w:r w:rsidRPr="00C50291">
        <w:rPr>
          <w:rFonts w:cs="Calibri"/>
        </w:rPr>
        <w:t>nless stronger economic conditions and higher net migration lift sale</w:t>
      </w:r>
      <w:r w:rsidRPr="00976700">
        <w:rPr>
          <w:rFonts w:cs="Calibri"/>
        </w:rPr>
        <w:t>s</w:t>
      </w:r>
      <w:r w:rsidR="00860AB3">
        <w:rPr>
          <w:rFonts w:cs="Calibri"/>
        </w:rPr>
        <w:t>.</w:t>
      </w:r>
      <w:r w:rsidRPr="00C50291">
        <w:rPr>
          <w:rFonts w:cs="Calibri"/>
        </w:rPr>
        <w:t xml:space="preserve"> </w:t>
      </w:r>
      <w:r w:rsidR="00BD7898">
        <w:rPr>
          <w:rFonts w:cs="Calibri"/>
        </w:rPr>
        <w:t>Longer term</w:t>
      </w:r>
      <w:r w:rsidRPr="00C50291">
        <w:rPr>
          <w:rFonts w:cs="Calibri"/>
        </w:rPr>
        <w:t xml:space="preserve"> if new listings decline over time as residential construction slows, house prices—particularly in the North Island—could begin to rise</w:t>
      </w:r>
      <w:r w:rsidR="001A4381" w:rsidRPr="001A4381">
        <w:rPr>
          <w:rFonts w:cs="Calibri"/>
        </w:rPr>
        <w:t>.</w:t>
      </w:r>
      <w:r w:rsidR="008D1756">
        <w:rPr>
          <w:rFonts w:cs="Calibri"/>
        </w:rPr>
        <w:t xml:space="preserve"> </w:t>
      </w:r>
      <w:r w:rsidR="001A4381" w:rsidRPr="001A4381">
        <w:rPr>
          <w:rFonts w:cs="Calibri"/>
        </w:rPr>
        <w:t xml:space="preserve">We expect market conditions to remain favourable for </w:t>
      </w:r>
      <w:r w:rsidR="00453AD3">
        <w:rPr>
          <w:rFonts w:cs="Calibri"/>
        </w:rPr>
        <w:t>most</w:t>
      </w:r>
      <w:r w:rsidR="001A4381" w:rsidRPr="001A4381">
        <w:rPr>
          <w:rFonts w:cs="Calibri"/>
        </w:rPr>
        <w:t xml:space="preserve"> buyers</w:t>
      </w:r>
      <w:r w:rsidR="00F14D15">
        <w:rPr>
          <w:rFonts w:cs="Calibri"/>
        </w:rPr>
        <w:t xml:space="preserve"> despite </w:t>
      </w:r>
      <w:r w:rsidR="00340C1B">
        <w:rPr>
          <w:rFonts w:cs="Calibri"/>
        </w:rPr>
        <w:t>rising interest rates</w:t>
      </w:r>
      <w:r w:rsidR="001A4381" w:rsidRPr="001A4381">
        <w:rPr>
          <w:rFonts w:cs="Calibri"/>
        </w:rPr>
        <w:t xml:space="preserve">. First-home buyers are likely to remain active, supported by </w:t>
      </w:r>
      <w:r w:rsidR="009B1CEE">
        <w:rPr>
          <w:rFonts w:cs="Calibri"/>
        </w:rPr>
        <w:t>access to</w:t>
      </w:r>
      <w:r w:rsidR="00B1426C">
        <w:rPr>
          <w:rFonts w:cs="Calibri"/>
        </w:rPr>
        <w:t xml:space="preserve"> </w:t>
      </w:r>
      <w:r w:rsidR="001A4381" w:rsidRPr="001A4381">
        <w:rPr>
          <w:rFonts w:cs="Calibri"/>
        </w:rPr>
        <w:t xml:space="preserve">borrowing at high </w:t>
      </w:r>
      <w:r w:rsidR="00E427D3">
        <w:rPr>
          <w:rFonts w:cs="Calibri"/>
        </w:rPr>
        <w:t>d</w:t>
      </w:r>
      <w:r w:rsidR="001A4381" w:rsidRPr="001A4381">
        <w:rPr>
          <w:rFonts w:cs="Calibri"/>
        </w:rPr>
        <w:t>ebt-</w:t>
      </w:r>
      <w:r w:rsidR="00E427D3">
        <w:rPr>
          <w:rFonts w:cs="Calibri"/>
        </w:rPr>
        <w:t>t</w:t>
      </w:r>
      <w:r w:rsidR="001A4381" w:rsidRPr="001A4381">
        <w:rPr>
          <w:rFonts w:cs="Calibri"/>
        </w:rPr>
        <w:t>o-</w:t>
      </w:r>
      <w:r w:rsidR="00E427D3">
        <w:rPr>
          <w:rFonts w:cs="Calibri"/>
        </w:rPr>
        <w:t>i</w:t>
      </w:r>
      <w:r w:rsidR="001A4381" w:rsidRPr="001A4381">
        <w:rPr>
          <w:rFonts w:cs="Calibri"/>
        </w:rPr>
        <w:t xml:space="preserve">ncome </w:t>
      </w:r>
      <w:r w:rsidR="00712833">
        <w:rPr>
          <w:rFonts w:cs="Calibri"/>
        </w:rPr>
        <w:t>(</w:t>
      </w:r>
      <w:r w:rsidR="009405D3" w:rsidRPr="00C50291">
        <w:rPr>
          <w:rFonts w:cs="Calibri"/>
        </w:rPr>
        <w:t>DTI &gt;6</w:t>
      </w:r>
      <w:r w:rsidR="00712833">
        <w:rPr>
          <w:rFonts w:cs="Calibri"/>
        </w:rPr>
        <w:t>)</w:t>
      </w:r>
      <w:r w:rsidR="0066519C">
        <w:rPr>
          <w:rStyle w:val="FootnoteReference"/>
          <w:rFonts w:cs="Calibri"/>
        </w:rPr>
        <w:footnoteReference w:id="14"/>
      </w:r>
      <w:r w:rsidR="00E427D3">
        <w:rPr>
          <w:rFonts w:cs="Calibri"/>
        </w:rPr>
        <w:t xml:space="preserve"> </w:t>
      </w:r>
      <w:r w:rsidR="001A4381" w:rsidRPr="001A4381">
        <w:rPr>
          <w:rFonts w:cs="Calibri"/>
        </w:rPr>
        <w:t xml:space="preserve">and </w:t>
      </w:r>
      <w:r w:rsidR="00E427D3">
        <w:rPr>
          <w:rFonts w:cs="Calibri"/>
        </w:rPr>
        <w:t>l</w:t>
      </w:r>
      <w:r w:rsidR="001A4381" w:rsidRPr="001A4381">
        <w:rPr>
          <w:rFonts w:cs="Calibri"/>
        </w:rPr>
        <w:t>oan-</w:t>
      </w:r>
      <w:r w:rsidR="00E427D3">
        <w:rPr>
          <w:rFonts w:cs="Calibri"/>
        </w:rPr>
        <w:t>t</w:t>
      </w:r>
      <w:r w:rsidR="001A4381" w:rsidRPr="001A4381">
        <w:rPr>
          <w:rFonts w:cs="Calibri"/>
        </w:rPr>
        <w:t>o-</w:t>
      </w:r>
      <w:r w:rsidR="00E427D3">
        <w:rPr>
          <w:rFonts w:cs="Calibri"/>
        </w:rPr>
        <w:t>v</w:t>
      </w:r>
      <w:r w:rsidR="001A4381" w:rsidRPr="001A4381">
        <w:rPr>
          <w:rFonts w:cs="Calibri"/>
        </w:rPr>
        <w:t xml:space="preserve">alue </w:t>
      </w:r>
      <w:r w:rsidR="00E427D3">
        <w:rPr>
          <w:rFonts w:cs="Calibri"/>
        </w:rPr>
        <w:t>r</w:t>
      </w:r>
      <w:r w:rsidR="00D574B4" w:rsidRPr="001A4381">
        <w:rPr>
          <w:rFonts w:cs="Calibri"/>
        </w:rPr>
        <w:t>atios</w:t>
      </w:r>
      <w:r w:rsidR="00D574B4">
        <w:rPr>
          <w:rFonts w:cs="Calibri"/>
        </w:rPr>
        <w:t xml:space="preserve"> </w:t>
      </w:r>
      <w:r w:rsidR="001A4381" w:rsidRPr="001A4381">
        <w:rPr>
          <w:rFonts w:cs="Calibri"/>
        </w:rPr>
        <w:t>(</w:t>
      </w:r>
      <w:r w:rsidR="00D574B4" w:rsidRPr="00C50291">
        <w:rPr>
          <w:rFonts w:cs="Calibri"/>
        </w:rPr>
        <w:t>5</w:t>
      </w:r>
      <w:r w:rsidR="00F75A80">
        <w:rPr>
          <w:rFonts w:cs="Calibri"/>
        </w:rPr>
        <w:t>3</w:t>
      </w:r>
      <w:r w:rsidR="00D574B4" w:rsidRPr="00C50291">
        <w:rPr>
          <w:rFonts w:cs="Calibri"/>
        </w:rPr>
        <w:t>% of new FHB lending was above 80% LVR</w:t>
      </w:r>
      <w:r w:rsidR="00EC373D">
        <w:rPr>
          <w:rFonts w:cs="Calibri"/>
        </w:rPr>
        <w:t>)</w:t>
      </w:r>
      <w:r w:rsidR="0066519C">
        <w:rPr>
          <w:rStyle w:val="FootnoteReference"/>
          <w:rFonts w:cs="Calibri"/>
        </w:rPr>
        <w:footnoteReference w:id="15"/>
      </w:r>
      <w:r w:rsidR="0038615B">
        <w:rPr>
          <w:rFonts w:cs="Calibri"/>
        </w:rPr>
        <w:t xml:space="preserve"> </w:t>
      </w:r>
      <w:r w:rsidR="00A33FF2">
        <w:rPr>
          <w:rFonts w:cs="Calibri"/>
        </w:rPr>
        <w:t>and high levels of KiwiSaver withdrawals</w:t>
      </w:r>
      <w:r w:rsidR="00D574B4">
        <w:rPr>
          <w:rFonts w:cs="Calibri"/>
        </w:rPr>
        <w:t xml:space="preserve">. </w:t>
      </w:r>
      <w:r w:rsidR="001A4381" w:rsidRPr="001A4381">
        <w:rPr>
          <w:rFonts w:cs="Calibri"/>
        </w:rPr>
        <w:t>In contrast, investor activity is expected to remain subdued</w:t>
      </w:r>
      <w:r w:rsidR="00E046FF">
        <w:rPr>
          <w:rFonts w:cs="Calibri"/>
        </w:rPr>
        <w:t xml:space="preserve"> in </w:t>
      </w:r>
      <w:r w:rsidR="00215498">
        <w:rPr>
          <w:rFonts w:cs="Calibri"/>
        </w:rPr>
        <w:t xml:space="preserve">the </w:t>
      </w:r>
      <w:r w:rsidR="00E046FF">
        <w:rPr>
          <w:rFonts w:cs="Calibri"/>
        </w:rPr>
        <w:t>mid-term</w:t>
      </w:r>
      <w:r w:rsidR="001A4381">
        <w:rPr>
          <w:rFonts w:cs="Calibri"/>
        </w:rPr>
        <w:t>.</w:t>
      </w:r>
      <w:r w:rsidR="009B5D27">
        <w:br w:type="page"/>
      </w:r>
    </w:p>
    <w:p w14:paraId="538D1D29" w14:textId="77777777" w:rsidR="00AB4142" w:rsidRDefault="00AB4142" w:rsidP="009B5D27">
      <w:pPr>
        <w:pStyle w:val="Heading1"/>
      </w:pPr>
      <w:bookmarkStart w:id="35" w:name="_Toc235108987"/>
      <w:r>
        <w:lastRenderedPageBreak/>
        <w:t>Residential construction</w:t>
      </w:r>
      <w:bookmarkEnd w:id="35"/>
    </w:p>
    <w:p w14:paraId="2C7BCFFA" w14:textId="77777777" w:rsidR="00AB4142" w:rsidRDefault="00AB4142" w:rsidP="00AB4142">
      <w:pPr>
        <w:pStyle w:val="Heading2"/>
      </w:pPr>
      <w:bookmarkStart w:id="36" w:name="_Toc234687973"/>
      <w:bookmarkStart w:id="37" w:name="_Toc234688197"/>
      <w:bookmarkStart w:id="38" w:name="_Toc235108988"/>
      <w:r>
        <w:t>Situation</w:t>
      </w:r>
      <w:bookmarkEnd w:id="36"/>
      <w:bookmarkEnd w:id="37"/>
      <w:bookmarkEnd w:id="38"/>
    </w:p>
    <w:p w14:paraId="3514ADB5" w14:textId="2B0A15F8" w:rsidR="00E2668A" w:rsidRPr="00E2668A" w:rsidRDefault="00E2668A" w:rsidP="00C0535C">
      <w:pPr>
        <w:pStyle w:val="BodyText"/>
        <w:rPr>
          <w:b/>
          <w:bCs/>
        </w:rPr>
      </w:pPr>
      <w:r w:rsidRPr="00E2668A">
        <w:rPr>
          <w:b/>
          <w:bCs/>
        </w:rPr>
        <w:t xml:space="preserve">Building </w:t>
      </w:r>
      <w:r>
        <w:rPr>
          <w:b/>
          <w:bCs/>
        </w:rPr>
        <w:t>i</w:t>
      </w:r>
      <w:r w:rsidRPr="00E2668A">
        <w:rPr>
          <w:b/>
          <w:bCs/>
        </w:rPr>
        <w:t xml:space="preserve">ntentions </w:t>
      </w:r>
      <w:r w:rsidR="00EF4C90">
        <w:rPr>
          <w:b/>
          <w:bCs/>
        </w:rPr>
        <w:t xml:space="preserve">are </w:t>
      </w:r>
      <w:r>
        <w:rPr>
          <w:b/>
          <w:bCs/>
        </w:rPr>
        <w:t>i</w:t>
      </w:r>
      <w:r w:rsidRPr="00E2668A">
        <w:rPr>
          <w:b/>
          <w:bCs/>
        </w:rPr>
        <w:t>mprov</w:t>
      </w:r>
      <w:r w:rsidR="00EF4C90">
        <w:rPr>
          <w:b/>
          <w:bCs/>
        </w:rPr>
        <w:t>ing</w:t>
      </w:r>
      <w:r w:rsidRPr="00E2668A">
        <w:rPr>
          <w:b/>
          <w:bCs/>
        </w:rPr>
        <w:t xml:space="preserve"> </w:t>
      </w:r>
      <w:r>
        <w:rPr>
          <w:b/>
          <w:bCs/>
        </w:rPr>
        <w:t>w</w:t>
      </w:r>
      <w:r w:rsidRPr="00E2668A">
        <w:rPr>
          <w:b/>
          <w:bCs/>
        </w:rPr>
        <w:t xml:space="preserve">hile </w:t>
      </w:r>
      <w:r>
        <w:rPr>
          <w:b/>
          <w:bCs/>
        </w:rPr>
        <w:t>c</w:t>
      </w:r>
      <w:r w:rsidRPr="00E2668A">
        <w:rPr>
          <w:b/>
          <w:bCs/>
        </w:rPr>
        <w:t xml:space="preserve">onstruction </w:t>
      </w:r>
      <w:r>
        <w:rPr>
          <w:b/>
          <w:bCs/>
        </w:rPr>
        <w:t>a</w:t>
      </w:r>
      <w:r w:rsidRPr="00E2668A">
        <w:rPr>
          <w:b/>
          <w:bCs/>
        </w:rPr>
        <w:t xml:space="preserve">ctivity </w:t>
      </w:r>
      <w:r w:rsidR="00EF4C90">
        <w:rPr>
          <w:b/>
          <w:bCs/>
        </w:rPr>
        <w:t>is lagging behind</w:t>
      </w:r>
    </w:p>
    <w:p w14:paraId="24BE895D" w14:textId="54856C97" w:rsidR="00517964" w:rsidRPr="00B607D9" w:rsidRDefault="00C0535C" w:rsidP="005D176A">
      <w:pPr>
        <w:pStyle w:val="BodyText"/>
      </w:pPr>
      <w:r w:rsidRPr="00B607D9">
        <w:t xml:space="preserve">Building consents, </w:t>
      </w:r>
      <w:r w:rsidR="00E10B53">
        <w:t>an indicator</w:t>
      </w:r>
      <w:r w:rsidR="00EC0DA7">
        <w:t xml:space="preserve"> of</w:t>
      </w:r>
      <w:r w:rsidRPr="00B607D9">
        <w:t xml:space="preserve"> intention to build, have been increasing since late 2025, both in absolute terms and on a per capita basis. In the year ended May 2026, 39,737 new dwellings were consented, up 19% from a year earlier, equivalent to 7.4 dwellings per 1,000 residents (up from 6.3)</w:t>
      </w:r>
      <w:r w:rsidR="00755D9C" w:rsidRPr="00D779B8">
        <w:rPr>
          <w:vertAlign w:val="superscript"/>
        </w:rPr>
        <w:footnoteReference w:id="16"/>
      </w:r>
      <w:r w:rsidRPr="00B607D9">
        <w:t xml:space="preserve">. </w:t>
      </w:r>
      <w:r w:rsidR="00BB16F8">
        <w:t>T</w:t>
      </w:r>
      <w:r w:rsidR="00BB16F8" w:rsidRPr="00B607D9">
        <w:t xml:space="preserve">he </w:t>
      </w:r>
      <w:r w:rsidR="00EC0DA7">
        <w:t>increase in</w:t>
      </w:r>
      <w:r w:rsidR="00BB16F8" w:rsidRPr="00B607D9">
        <w:t xml:space="preserve"> per capita consenting has been driven by Canterbury </w:t>
      </w:r>
      <w:r w:rsidR="00BB16F8">
        <w:t>(</w:t>
      </w:r>
      <w:r w:rsidR="00DE5FAC" w:rsidRPr="005D176A">
        <w:t>12</w:t>
      </w:r>
      <w:r w:rsidR="00DE5FAC">
        <w:t>.1</w:t>
      </w:r>
      <w:r w:rsidR="00BB16F8" w:rsidRPr="00B607D9">
        <w:t xml:space="preserve"> dwellings per 1,000 residents</w:t>
      </w:r>
      <w:r w:rsidR="00DE5FAC">
        <w:t>)</w:t>
      </w:r>
      <w:r w:rsidR="00BB16F8" w:rsidRPr="00B607D9">
        <w:t xml:space="preserve"> and Otago</w:t>
      </w:r>
      <w:r w:rsidR="00DE5FAC">
        <w:t xml:space="preserve"> (11.1</w:t>
      </w:r>
      <w:r w:rsidR="00DE5FAC" w:rsidRPr="00B607D9">
        <w:t xml:space="preserve"> dwellings per 1,000 residents</w:t>
      </w:r>
      <w:r w:rsidR="00DE5FAC">
        <w:t>)</w:t>
      </w:r>
      <w:r w:rsidR="00BB16F8" w:rsidRPr="00B607D9">
        <w:t>, with Auckland</w:t>
      </w:r>
      <w:r w:rsidR="00DE5FAC">
        <w:t xml:space="preserve"> (9.3</w:t>
      </w:r>
      <w:r w:rsidR="00DE5FAC" w:rsidRPr="00B607D9">
        <w:t xml:space="preserve"> dwellings per 1,000 residents</w:t>
      </w:r>
      <w:r w:rsidR="00DE5FAC">
        <w:t>)</w:t>
      </w:r>
      <w:r w:rsidR="00BB16F8" w:rsidRPr="00B607D9">
        <w:t xml:space="preserve"> also showing a recent pickup. </w:t>
      </w:r>
      <w:r w:rsidRPr="00B607D9">
        <w:t>However, this increase has not yet translated into higher construction activity.</w:t>
      </w:r>
      <w:r w:rsidR="00AE1F27">
        <w:t xml:space="preserve"> </w:t>
      </w:r>
      <w:r w:rsidRPr="00B607D9">
        <w:t xml:space="preserve"> </w:t>
      </w:r>
    </w:p>
    <w:p w14:paraId="3E582AD9" w14:textId="3EE56636" w:rsidR="00C0535C" w:rsidRPr="00B607D9" w:rsidRDefault="00C0535C" w:rsidP="00B80CA3">
      <w:pPr>
        <w:jc w:val="left"/>
        <w:rPr>
          <w:rFonts w:cs="Calibri"/>
        </w:rPr>
      </w:pPr>
      <w:r w:rsidRPr="00B607D9">
        <w:rPr>
          <w:rFonts w:cs="Calibri"/>
        </w:rPr>
        <w:t xml:space="preserve">Residential </w:t>
      </w:r>
      <w:r w:rsidR="00C743D5">
        <w:rPr>
          <w:rFonts w:cs="Calibri"/>
        </w:rPr>
        <w:t>building</w:t>
      </w:r>
      <w:r w:rsidRPr="00B607D9">
        <w:rPr>
          <w:rFonts w:cs="Calibri"/>
        </w:rPr>
        <w:t xml:space="preserve"> work remained broadly flat through 2025</w:t>
      </w:r>
      <w:r w:rsidR="00D20C25">
        <w:rPr>
          <w:rFonts w:cs="Calibri"/>
        </w:rPr>
        <w:t>,</w:t>
      </w:r>
      <w:r w:rsidRPr="00B607D9">
        <w:rPr>
          <w:rFonts w:cs="Calibri"/>
        </w:rPr>
        <w:t xml:space="preserve"> and </w:t>
      </w:r>
      <w:r w:rsidR="00F5080F">
        <w:rPr>
          <w:rFonts w:cs="Calibri"/>
        </w:rPr>
        <w:t>over the year to the March quarter</w:t>
      </w:r>
      <w:r w:rsidR="000860D1">
        <w:rPr>
          <w:rFonts w:cs="Calibri"/>
        </w:rPr>
        <w:t xml:space="preserve"> it</w:t>
      </w:r>
      <w:r w:rsidR="00FF1986" w:rsidRPr="00B607D9">
        <w:rPr>
          <w:rFonts w:cs="Calibri"/>
        </w:rPr>
        <w:t xml:space="preserve"> was down 2.5 percent to $4.6 billion</w:t>
      </w:r>
      <w:r w:rsidR="00B607D9" w:rsidRPr="00B607D9">
        <w:rPr>
          <w:rFonts w:cs="Calibri"/>
        </w:rPr>
        <w:t>.</w:t>
      </w:r>
      <w:r w:rsidR="00B607D9" w:rsidRPr="00D779B8">
        <w:rPr>
          <w:rFonts w:cs="Calibri"/>
          <w:vertAlign w:val="superscript"/>
        </w:rPr>
        <w:footnoteReference w:id="17"/>
      </w:r>
      <w:r w:rsidR="00B607D9" w:rsidRPr="00D779B8">
        <w:rPr>
          <w:rFonts w:cs="Calibri"/>
          <w:vertAlign w:val="superscript"/>
        </w:rPr>
        <w:t xml:space="preserve"> </w:t>
      </w:r>
      <w:r w:rsidRPr="00B607D9">
        <w:rPr>
          <w:rFonts w:cs="Calibri"/>
        </w:rPr>
        <w:t xml:space="preserve">This </w:t>
      </w:r>
      <w:r w:rsidR="00081A27">
        <w:rPr>
          <w:rFonts w:cs="Calibri"/>
        </w:rPr>
        <w:t>subdued activity</w:t>
      </w:r>
      <w:r w:rsidRPr="00B607D9">
        <w:rPr>
          <w:rFonts w:cs="Calibri"/>
        </w:rPr>
        <w:t xml:space="preserve"> reflects </w:t>
      </w:r>
      <w:r w:rsidR="00E36E9C">
        <w:rPr>
          <w:rFonts w:cs="Calibri"/>
        </w:rPr>
        <w:t>lower</w:t>
      </w:r>
      <w:r w:rsidRPr="00B607D9">
        <w:rPr>
          <w:rFonts w:cs="Calibri"/>
        </w:rPr>
        <w:t xml:space="preserve"> housing demand, elevated housing inventory, and uncertainty facing the construction sector, including higher fuel </w:t>
      </w:r>
      <w:r w:rsidR="005819FC">
        <w:rPr>
          <w:rFonts w:cs="Calibri"/>
        </w:rPr>
        <w:t>and material</w:t>
      </w:r>
      <w:r w:rsidRPr="00B607D9">
        <w:rPr>
          <w:rFonts w:cs="Calibri"/>
        </w:rPr>
        <w:t xml:space="preserve"> costs following the US–Iran conflict</w:t>
      </w:r>
      <w:r w:rsidR="00F31D35">
        <w:rPr>
          <w:rFonts w:cs="Calibri"/>
        </w:rPr>
        <w:t xml:space="preserve"> (</w:t>
      </w:r>
      <w:r w:rsidR="001F5B73">
        <w:rPr>
          <w:rFonts w:cs="Calibri"/>
        </w:rPr>
        <w:t>cost of construction</w:t>
      </w:r>
      <w:r w:rsidR="006E3961">
        <w:rPr>
          <w:rFonts w:cs="Calibri"/>
        </w:rPr>
        <w:t xml:space="preserve"> </w:t>
      </w:r>
      <w:r w:rsidR="003E5ACE">
        <w:rPr>
          <w:rFonts w:cs="Calibri"/>
        </w:rPr>
        <w:t>increase</w:t>
      </w:r>
      <w:r w:rsidR="00A86F7F">
        <w:rPr>
          <w:rFonts w:cs="Calibri"/>
        </w:rPr>
        <w:t>d</w:t>
      </w:r>
      <w:r w:rsidR="006E3961">
        <w:rPr>
          <w:rFonts w:cs="Calibri"/>
        </w:rPr>
        <w:t xml:space="preserve"> </w:t>
      </w:r>
      <w:r w:rsidR="002D4D54">
        <w:rPr>
          <w:rFonts w:cs="Calibri"/>
        </w:rPr>
        <w:t>2.7</w:t>
      </w:r>
      <w:r w:rsidR="0045223B">
        <w:rPr>
          <w:rFonts w:cs="Calibri"/>
        </w:rPr>
        <w:t>% over the year</w:t>
      </w:r>
      <w:r w:rsidR="009A64CA">
        <w:rPr>
          <w:rFonts w:cs="Calibri"/>
        </w:rPr>
        <w:t xml:space="preserve"> </w:t>
      </w:r>
      <w:r w:rsidR="00C337E2">
        <w:rPr>
          <w:rFonts w:cs="Calibri"/>
        </w:rPr>
        <w:t>to June 2026 quarter</w:t>
      </w:r>
      <w:r w:rsidR="00A86F7F">
        <w:rPr>
          <w:rFonts w:cs="Calibri"/>
        </w:rPr>
        <w:t>)</w:t>
      </w:r>
      <w:r w:rsidR="003E5ACE">
        <w:rPr>
          <w:rFonts w:cs="Calibri"/>
        </w:rPr>
        <w:t>.</w:t>
      </w:r>
      <w:r w:rsidR="003E5ACE">
        <w:rPr>
          <w:rStyle w:val="FootnoteReference"/>
          <w:rFonts w:cs="Calibri"/>
        </w:rPr>
        <w:footnoteReference w:id="18"/>
      </w:r>
      <w:r w:rsidR="003E5ACE">
        <w:rPr>
          <w:rFonts w:cs="Calibri"/>
        </w:rPr>
        <w:t xml:space="preserve"> </w:t>
      </w:r>
      <w:r w:rsidRPr="00B607D9">
        <w:rPr>
          <w:rFonts w:cs="Calibri"/>
        </w:rPr>
        <w:t xml:space="preserve">The June 2026 quarter </w:t>
      </w:r>
      <w:r w:rsidR="00CC7779">
        <w:rPr>
          <w:rFonts w:cs="Calibri"/>
        </w:rPr>
        <w:t>resident</w:t>
      </w:r>
      <w:r w:rsidR="00183E7B">
        <w:rPr>
          <w:rFonts w:cs="Calibri"/>
        </w:rPr>
        <w:t xml:space="preserve">ial </w:t>
      </w:r>
      <w:r w:rsidR="001F10CC">
        <w:rPr>
          <w:rFonts w:cs="Calibri"/>
        </w:rPr>
        <w:t>building work</w:t>
      </w:r>
      <w:r w:rsidR="00421871">
        <w:rPr>
          <w:rFonts w:cs="Calibri"/>
        </w:rPr>
        <w:t xml:space="preserve"> </w:t>
      </w:r>
      <w:r w:rsidRPr="00B607D9">
        <w:rPr>
          <w:rFonts w:cs="Calibri"/>
        </w:rPr>
        <w:t>data will provide a clearer indication of whether construction activity is beginning to respond to the rise in consents.</w:t>
      </w:r>
    </w:p>
    <w:p w14:paraId="5B06B6F6" w14:textId="0A60B9A0" w:rsidR="00F9273D" w:rsidRPr="00F9273D" w:rsidRDefault="00DE2938" w:rsidP="00C0535C">
      <w:pPr>
        <w:pStyle w:val="BodyText"/>
        <w:rPr>
          <w:b/>
          <w:bCs/>
        </w:rPr>
      </w:pPr>
      <w:r>
        <w:rPr>
          <w:b/>
          <w:bCs/>
        </w:rPr>
        <w:t>F</w:t>
      </w:r>
      <w:r w:rsidRPr="00F9273D">
        <w:rPr>
          <w:b/>
          <w:bCs/>
        </w:rPr>
        <w:t>inance availability improves, but developers remain cautious on project commencements</w:t>
      </w:r>
    </w:p>
    <w:p w14:paraId="4735641C" w14:textId="6821FA44" w:rsidR="007A7264" w:rsidRDefault="00C0535C" w:rsidP="00B80CA3">
      <w:pPr>
        <w:jc w:val="left"/>
      </w:pPr>
      <w:r w:rsidRPr="00C0535C">
        <w:t>Labour demand and construction employment also strengthened in late 2025 but have remained broadly flat throughout 2026, reinforcing the view that developers are proceeding cautiously. While building consents provide approval to build, they do not require construction to begin immediately, with consents typically remaining valid for up to two years. Developers can therefore delay projects until existing housing stock is sold, market demand improves, or financing capacity is freed up. At the same time, residential development lending has continued to trend upwards, suggesting developers are securing finance and positioning themselves to commence projects when market conditions become more favourable.</w:t>
      </w:r>
    </w:p>
    <w:p w14:paraId="1D9767E0" w14:textId="77777777" w:rsidR="00AB4142" w:rsidRDefault="00AB4142" w:rsidP="00AB4142">
      <w:pPr>
        <w:pStyle w:val="Heading2"/>
      </w:pPr>
      <w:bookmarkStart w:id="39" w:name="_Toc234687974"/>
      <w:bookmarkStart w:id="40" w:name="_Toc234688198"/>
      <w:bookmarkStart w:id="41" w:name="_Toc235108989"/>
      <w:r>
        <w:t>Outlook</w:t>
      </w:r>
      <w:bookmarkEnd w:id="39"/>
      <w:bookmarkEnd w:id="40"/>
      <w:bookmarkEnd w:id="41"/>
    </w:p>
    <w:p w14:paraId="38C211F7" w14:textId="2B9B1548" w:rsidR="00584350" w:rsidRPr="00584350" w:rsidRDefault="00584350" w:rsidP="007420E3">
      <w:pPr>
        <w:pStyle w:val="BodyText"/>
        <w:rPr>
          <w:b/>
          <w:bCs/>
        </w:rPr>
      </w:pPr>
      <w:r w:rsidRPr="00584350">
        <w:rPr>
          <w:b/>
          <w:bCs/>
        </w:rPr>
        <w:t xml:space="preserve">Weak </w:t>
      </w:r>
      <w:r>
        <w:rPr>
          <w:b/>
          <w:bCs/>
        </w:rPr>
        <w:t>d</w:t>
      </w:r>
      <w:r w:rsidRPr="00584350">
        <w:rPr>
          <w:b/>
          <w:bCs/>
        </w:rPr>
        <w:t xml:space="preserve">emand </w:t>
      </w:r>
      <w:r>
        <w:rPr>
          <w:b/>
          <w:bCs/>
        </w:rPr>
        <w:t>c</w:t>
      </w:r>
      <w:r w:rsidRPr="00584350">
        <w:rPr>
          <w:b/>
          <w:bCs/>
        </w:rPr>
        <w:t xml:space="preserve">ontinues to </w:t>
      </w:r>
      <w:r>
        <w:rPr>
          <w:b/>
          <w:bCs/>
        </w:rPr>
        <w:t>w</w:t>
      </w:r>
      <w:r w:rsidRPr="00584350">
        <w:rPr>
          <w:b/>
          <w:bCs/>
        </w:rPr>
        <w:t xml:space="preserve">eigh on </w:t>
      </w:r>
      <w:r w:rsidR="00D779B8">
        <w:rPr>
          <w:b/>
          <w:bCs/>
        </w:rPr>
        <w:t xml:space="preserve">residential </w:t>
      </w:r>
      <w:r>
        <w:rPr>
          <w:b/>
          <w:bCs/>
        </w:rPr>
        <w:t>c</w:t>
      </w:r>
      <w:r w:rsidRPr="00584350">
        <w:rPr>
          <w:b/>
          <w:bCs/>
        </w:rPr>
        <w:t>onstruction</w:t>
      </w:r>
      <w:r w:rsidR="00D779B8">
        <w:rPr>
          <w:b/>
          <w:bCs/>
        </w:rPr>
        <w:t xml:space="preserve"> activity</w:t>
      </w:r>
    </w:p>
    <w:p w14:paraId="3ECD6D6E" w14:textId="68AC7024" w:rsidR="00782A21" w:rsidRPr="00E10FDC" w:rsidRDefault="00F833EE" w:rsidP="007D1680">
      <w:pPr>
        <w:pStyle w:val="BodyText"/>
        <w:rPr>
          <w:rFonts w:cs="Calibri"/>
        </w:rPr>
      </w:pPr>
      <w:r>
        <w:t>T</w:t>
      </w:r>
      <w:r w:rsidR="00782A21" w:rsidRPr="00782A21">
        <w:t xml:space="preserve">he outlook for the construction sector remains cautious. A slow economic recovery, ongoing geopolitical uncertainty, slightly rising mortgage </w:t>
      </w:r>
      <w:r w:rsidR="00A80C4C" w:rsidRPr="00782A21">
        <w:t>rates and</w:t>
      </w:r>
      <w:r w:rsidR="00782A21" w:rsidRPr="00782A21">
        <w:t xml:space="preserve"> expectations of broadly flat house prices are likely to keep housing demand subdued in the near term. Although the pipeline of consented dwellings has expanded and residential development lending continues to increase, this is unlikely to translate </w:t>
      </w:r>
      <w:r w:rsidR="00B35FE6">
        <w:t xml:space="preserve">immediately </w:t>
      </w:r>
      <w:r w:rsidR="00782A21" w:rsidRPr="00782A21">
        <w:t>into a rapid increase in construction activity while market conditions remain weak.</w:t>
      </w:r>
      <w:r w:rsidR="008E4958">
        <w:t xml:space="preserve"> </w:t>
      </w:r>
      <w:r w:rsidR="007D22C6" w:rsidRPr="007D22C6">
        <w:rPr>
          <w:rFonts w:cs="Calibri"/>
        </w:rPr>
        <w:t xml:space="preserve">While construction activity is not currently responding at a rapid pace, building levels remain </w:t>
      </w:r>
      <w:r w:rsidR="00D27B32">
        <w:rPr>
          <w:rFonts w:cs="Calibri"/>
        </w:rPr>
        <w:t>aligned</w:t>
      </w:r>
      <w:r w:rsidR="007D22C6" w:rsidRPr="007D22C6">
        <w:rPr>
          <w:rFonts w:cs="Calibri"/>
        </w:rPr>
        <w:t xml:space="preserve"> with market conditions. Provided the sector can scale up when demand increases, translating building consents into new housing supply will help </w:t>
      </w:r>
      <w:r w:rsidR="00E316D3">
        <w:rPr>
          <w:rFonts w:cs="Calibri"/>
        </w:rPr>
        <w:t>keep</w:t>
      </w:r>
      <w:r w:rsidR="007D22C6" w:rsidRPr="007D22C6">
        <w:rPr>
          <w:rFonts w:cs="Calibri"/>
        </w:rPr>
        <w:t xml:space="preserve"> house price</w:t>
      </w:r>
      <w:r w:rsidR="00E10FDC">
        <w:rPr>
          <w:rFonts w:cs="Calibri"/>
        </w:rPr>
        <w:t>s</w:t>
      </w:r>
      <w:r w:rsidR="00AF3F23">
        <w:rPr>
          <w:rFonts w:cs="Calibri"/>
        </w:rPr>
        <w:t xml:space="preserve"> stable</w:t>
      </w:r>
      <w:r w:rsidR="00E316D3">
        <w:rPr>
          <w:rFonts w:cs="Calibri"/>
        </w:rPr>
        <w:t>.</w:t>
      </w:r>
      <w:r w:rsidR="00AF3F23">
        <w:rPr>
          <w:rFonts w:cs="Calibri"/>
        </w:rPr>
        <w:t xml:space="preserve"> </w:t>
      </w:r>
    </w:p>
    <w:p w14:paraId="2ADB22C1" w14:textId="30E47C51" w:rsidR="00AB4142" w:rsidRDefault="00782A21" w:rsidP="007D1680">
      <w:pPr>
        <w:pStyle w:val="BodyText"/>
      </w:pPr>
      <w:r w:rsidRPr="00782A21">
        <w:t xml:space="preserve">A sustained recovery in building activity will depend on stronger housing demand, improved sales rates, and the gradual absorption of existing housing inventory. Until these conditions improve, construction activity is expected to </w:t>
      </w:r>
      <w:r w:rsidR="00D679DC">
        <w:t>grow</w:t>
      </w:r>
      <w:r w:rsidRPr="00782A21">
        <w:t xml:space="preserve"> only gradually</w:t>
      </w:r>
      <w:r w:rsidR="00565E48">
        <w:t xml:space="preserve"> amidst increasing con</w:t>
      </w:r>
      <w:r w:rsidR="004A334D">
        <w:t xml:space="preserve">struction </w:t>
      </w:r>
      <w:r w:rsidR="000860D1">
        <w:t>costs</w:t>
      </w:r>
      <w:r w:rsidR="004A334D">
        <w:t xml:space="preserve"> </w:t>
      </w:r>
      <w:r w:rsidR="000860D1">
        <w:t xml:space="preserve">that are </w:t>
      </w:r>
      <w:r w:rsidR="00A80C4C">
        <w:t>squeezing</w:t>
      </w:r>
      <w:r w:rsidR="004A334D">
        <w:t xml:space="preserve"> pr</w:t>
      </w:r>
      <w:r w:rsidR="00A80C4C">
        <w:t>ofit margins</w:t>
      </w:r>
      <w:r w:rsidRPr="00782A21">
        <w:t xml:space="preserve">. </w:t>
      </w:r>
      <w:r w:rsidR="008476BB" w:rsidRPr="008476BB">
        <w:t xml:space="preserve">June 2026 quarter </w:t>
      </w:r>
      <w:r w:rsidR="00E94A4C">
        <w:t>activity</w:t>
      </w:r>
      <w:r w:rsidR="008476BB" w:rsidRPr="008476BB">
        <w:t xml:space="preserve"> data, which will be available in September, will provide a clearer indication of whether construction activity has </w:t>
      </w:r>
      <w:r w:rsidR="002D63A6">
        <w:t>started</w:t>
      </w:r>
      <w:r w:rsidR="008476BB" w:rsidRPr="008476BB">
        <w:t xml:space="preserve"> responding to the rise in consents</w:t>
      </w:r>
      <w:r w:rsidRPr="00782A21">
        <w:t>.</w:t>
      </w:r>
      <w:r w:rsidR="00AB4142">
        <w:br w:type="page"/>
      </w:r>
    </w:p>
    <w:p w14:paraId="0A14C65E" w14:textId="77777777" w:rsidR="00AB4142" w:rsidRPr="00AB4142" w:rsidRDefault="00AB4142" w:rsidP="00AB4142">
      <w:pPr>
        <w:pStyle w:val="Heading2"/>
        <w:rPr>
          <w:lang w:eastAsia="en-US"/>
        </w:rPr>
      </w:pPr>
      <w:bookmarkStart w:id="42" w:name="_Toc227855038"/>
      <w:bookmarkStart w:id="43" w:name="_Ref234495676"/>
      <w:bookmarkStart w:id="44" w:name="_Toc235108990"/>
      <w:r w:rsidRPr="00AB4142">
        <w:rPr>
          <w:lang w:eastAsia="en-US"/>
        </w:rPr>
        <w:lastRenderedPageBreak/>
        <w:t>Glossary of key abbreviations and terms</w:t>
      </w:r>
      <w:bookmarkEnd w:id="42"/>
      <w:bookmarkEnd w:id="43"/>
      <w:bookmarkEnd w:id="44"/>
      <w:r w:rsidRPr="00AB4142">
        <w:rPr>
          <w:lang w:eastAsia="en-US"/>
        </w:rPr>
        <w:t xml:space="preserve"> </w:t>
      </w:r>
    </w:p>
    <w:tbl>
      <w:tblPr>
        <w:tblStyle w:val="TableGrid1"/>
        <w:tblW w:w="0" w:type="auto"/>
        <w:tblLook w:val="04A0" w:firstRow="1" w:lastRow="0" w:firstColumn="1" w:lastColumn="0" w:noHBand="0" w:noVBand="1"/>
      </w:tblPr>
      <w:tblGrid>
        <w:gridCol w:w="1174"/>
        <w:gridCol w:w="9292"/>
      </w:tblGrid>
      <w:tr w:rsidR="00AB4142" w:rsidRPr="00AB4142" w14:paraId="201BA77C" w14:textId="77777777">
        <w:tc>
          <w:tcPr>
            <w:tcW w:w="870" w:type="dxa"/>
          </w:tcPr>
          <w:p w14:paraId="5A0AB227" w14:textId="77777777" w:rsidR="00AB4142" w:rsidRPr="00AB4142" w:rsidRDefault="00AB4142" w:rsidP="00AB4142">
            <w:pPr>
              <w:pStyle w:val="Tabletext"/>
              <w:rPr>
                <w:lang w:eastAsia="en-US"/>
              </w:rPr>
            </w:pPr>
            <w:r w:rsidRPr="00AB4142">
              <w:rPr>
                <w:lang w:eastAsia="en-US"/>
              </w:rPr>
              <w:t>CCC</w:t>
            </w:r>
          </w:p>
        </w:tc>
        <w:tc>
          <w:tcPr>
            <w:tcW w:w="9336" w:type="dxa"/>
          </w:tcPr>
          <w:p w14:paraId="6761703C" w14:textId="77777777" w:rsidR="00AB4142" w:rsidRPr="00AB4142" w:rsidRDefault="00AB4142" w:rsidP="00AB4142">
            <w:pPr>
              <w:pStyle w:val="Tabletext"/>
              <w:rPr>
                <w:lang w:eastAsia="en-US"/>
              </w:rPr>
            </w:pPr>
            <w:r w:rsidRPr="00AB4142">
              <w:rPr>
                <w:lang w:eastAsia="en-US"/>
              </w:rPr>
              <w:t>Code compliance certificate: A formal statement issued by the local consent authority, that building work carried out under a building consent complies with that building consent.</w:t>
            </w:r>
          </w:p>
        </w:tc>
      </w:tr>
      <w:tr w:rsidR="00AB4142" w:rsidRPr="00AB4142" w14:paraId="61B85FF5" w14:textId="77777777">
        <w:tc>
          <w:tcPr>
            <w:tcW w:w="870" w:type="dxa"/>
          </w:tcPr>
          <w:p w14:paraId="5FF4F2EC" w14:textId="77777777" w:rsidR="00AB4142" w:rsidRPr="00AB4142" w:rsidRDefault="00AB4142" w:rsidP="00AB4142">
            <w:pPr>
              <w:pStyle w:val="Tabletext"/>
              <w:rPr>
                <w:lang w:eastAsia="en-US"/>
              </w:rPr>
            </w:pPr>
            <w:r w:rsidRPr="00AB4142">
              <w:rPr>
                <w:lang w:eastAsia="en-US"/>
              </w:rPr>
              <w:t>CPI</w:t>
            </w:r>
          </w:p>
        </w:tc>
        <w:tc>
          <w:tcPr>
            <w:tcW w:w="9336" w:type="dxa"/>
          </w:tcPr>
          <w:p w14:paraId="53182E63" w14:textId="77777777" w:rsidR="00AB4142" w:rsidRPr="00AB4142" w:rsidRDefault="00AB4142" w:rsidP="00AB4142">
            <w:pPr>
              <w:pStyle w:val="Tabletext"/>
              <w:rPr>
                <w:lang w:eastAsia="en-US"/>
              </w:rPr>
            </w:pPr>
            <w:r w:rsidRPr="00AB4142">
              <w:rPr>
                <w:lang w:eastAsia="en-US"/>
              </w:rPr>
              <w:t xml:space="preserve">Consumers price index: The CPI is a measure of inflation for New Zealand households. It records changes in the price of goods and services. It influences interest rates and is used to calculate changes to benefit payments. </w:t>
            </w:r>
          </w:p>
        </w:tc>
      </w:tr>
      <w:tr w:rsidR="00AB4142" w:rsidRPr="00AB4142" w14:paraId="5DD9B8E2" w14:textId="77777777">
        <w:tc>
          <w:tcPr>
            <w:tcW w:w="870" w:type="dxa"/>
          </w:tcPr>
          <w:p w14:paraId="79462B98" w14:textId="77777777" w:rsidR="00AB4142" w:rsidRPr="00AB4142" w:rsidRDefault="00AB4142" w:rsidP="00AB4142">
            <w:pPr>
              <w:pStyle w:val="Tabletext"/>
              <w:rPr>
                <w:lang w:eastAsia="en-US"/>
              </w:rPr>
            </w:pPr>
            <w:r w:rsidRPr="00AB4142">
              <w:rPr>
                <w:lang w:eastAsia="en-US"/>
              </w:rPr>
              <w:t>DTI</w:t>
            </w:r>
          </w:p>
        </w:tc>
        <w:tc>
          <w:tcPr>
            <w:tcW w:w="9336" w:type="dxa"/>
          </w:tcPr>
          <w:p w14:paraId="14034E26" w14:textId="5DDE0E14" w:rsidR="00AB4142" w:rsidRPr="00AB4142" w:rsidRDefault="00AB4142" w:rsidP="00AB4142">
            <w:pPr>
              <w:pStyle w:val="Tabletext"/>
              <w:rPr>
                <w:lang w:eastAsia="en-US"/>
              </w:rPr>
            </w:pPr>
            <w:r w:rsidRPr="00AB4142">
              <w:rPr>
                <w:lang w:eastAsia="en-US"/>
              </w:rPr>
              <w:t>Debt</w:t>
            </w:r>
            <w:r w:rsidR="006B7DA9">
              <w:rPr>
                <w:lang w:eastAsia="en-US"/>
              </w:rPr>
              <w:t>-</w:t>
            </w:r>
            <w:r w:rsidRPr="00AB4142">
              <w:rPr>
                <w:lang w:eastAsia="en-US"/>
              </w:rPr>
              <w:t>to</w:t>
            </w:r>
            <w:r w:rsidR="006B7DA9">
              <w:rPr>
                <w:lang w:eastAsia="en-US"/>
              </w:rPr>
              <w:t>-</w:t>
            </w:r>
            <w:r w:rsidRPr="00AB4142">
              <w:rPr>
                <w:lang w:eastAsia="en-US"/>
              </w:rPr>
              <w:t xml:space="preserve">income levels: Restrictions put in place on the amount of lending that a bank can make to owner occupiers with a DTI of 6 or above and investors with a level of 7 or above. </w:t>
            </w:r>
          </w:p>
        </w:tc>
      </w:tr>
      <w:tr w:rsidR="00AB4142" w:rsidRPr="00AB4142" w14:paraId="188C1D85" w14:textId="77777777">
        <w:trPr>
          <w:trHeight w:val="216"/>
        </w:trPr>
        <w:tc>
          <w:tcPr>
            <w:tcW w:w="870" w:type="dxa"/>
          </w:tcPr>
          <w:p w14:paraId="04968EF8" w14:textId="77777777" w:rsidR="00AB4142" w:rsidRPr="00AB4142" w:rsidRDefault="00AB4142" w:rsidP="00AB4142">
            <w:pPr>
              <w:pStyle w:val="Tabletext"/>
              <w:rPr>
                <w:lang w:eastAsia="en-US"/>
              </w:rPr>
            </w:pPr>
            <w:r w:rsidRPr="00AB4142">
              <w:rPr>
                <w:lang w:eastAsia="en-US"/>
              </w:rPr>
              <w:t>FHB</w:t>
            </w:r>
          </w:p>
        </w:tc>
        <w:tc>
          <w:tcPr>
            <w:tcW w:w="9336" w:type="dxa"/>
          </w:tcPr>
          <w:p w14:paraId="1EF783E8" w14:textId="77777777" w:rsidR="00AB4142" w:rsidRPr="00AB4142" w:rsidRDefault="00AB4142" w:rsidP="00AB4142">
            <w:pPr>
              <w:pStyle w:val="Tabletext"/>
              <w:rPr>
                <w:lang w:eastAsia="en-US"/>
              </w:rPr>
            </w:pPr>
            <w:r w:rsidRPr="00AB4142">
              <w:rPr>
                <w:lang w:eastAsia="en-US"/>
              </w:rPr>
              <w:t>First home buyer: Someone buying their first home.</w:t>
            </w:r>
          </w:p>
        </w:tc>
      </w:tr>
      <w:tr w:rsidR="00AB4142" w:rsidRPr="00AB4142" w14:paraId="0810CD57" w14:textId="77777777">
        <w:tc>
          <w:tcPr>
            <w:tcW w:w="870" w:type="dxa"/>
          </w:tcPr>
          <w:p w14:paraId="525540AC" w14:textId="77777777" w:rsidR="00AB4142" w:rsidRPr="00AB4142" w:rsidRDefault="00AB4142" w:rsidP="00AB4142">
            <w:pPr>
              <w:pStyle w:val="Tabletext"/>
              <w:rPr>
                <w:lang w:eastAsia="en-US"/>
              </w:rPr>
            </w:pPr>
            <w:r w:rsidRPr="00AB4142">
              <w:rPr>
                <w:lang w:eastAsia="en-US"/>
              </w:rPr>
              <w:t>GDP</w:t>
            </w:r>
          </w:p>
        </w:tc>
        <w:tc>
          <w:tcPr>
            <w:tcW w:w="9336" w:type="dxa"/>
          </w:tcPr>
          <w:p w14:paraId="2B9ED9A8" w14:textId="6B844A80" w:rsidR="00AB4142" w:rsidRPr="00AB4142" w:rsidRDefault="00AB4142" w:rsidP="00AB4142">
            <w:pPr>
              <w:pStyle w:val="Tabletext"/>
              <w:rPr>
                <w:lang w:eastAsia="en-US"/>
              </w:rPr>
            </w:pPr>
            <w:r w:rsidRPr="00AB4142">
              <w:rPr>
                <w:lang w:eastAsia="en-US"/>
              </w:rPr>
              <w:t xml:space="preserve">Gross domestic product: Reported quarterly, </w:t>
            </w:r>
            <w:r w:rsidR="006B7DA9">
              <w:rPr>
                <w:lang w:eastAsia="en-US"/>
              </w:rPr>
              <w:t>GDP</w:t>
            </w:r>
            <w:r w:rsidRPr="00AB4142">
              <w:rPr>
                <w:lang w:eastAsia="en-US"/>
              </w:rPr>
              <w:t xml:space="preserve"> provides a snapshot of the performance of the economy. GDP is New Zealand's official measure of economic growth. Two quarters of negative growth is classed as a recession.</w:t>
            </w:r>
          </w:p>
        </w:tc>
      </w:tr>
      <w:tr w:rsidR="00AB4142" w:rsidRPr="00AB4142" w14:paraId="573FF79E" w14:textId="77777777">
        <w:tc>
          <w:tcPr>
            <w:tcW w:w="870" w:type="dxa"/>
          </w:tcPr>
          <w:p w14:paraId="07A224C7" w14:textId="77777777" w:rsidR="00AB4142" w:rsidRPr="00AB4142" w:rsidRDefault="00AB4142" w:rsidP="00AB4142">
            <w:pPr>
              <w:pStyle w:val="Tabletext"/>
              <w:rPr>
                <w:lang w:eastAsia="en-US"/>
              </w:rPr>
            </w:pPr>
            <w:r w:rsidRPr="00AB4142">
              <w:rPr>
                <w:lang w:eastAsia="en-US"/>
              </w:rPr>
              <w:t>GFC</w:t>
            </w:r>
          </w:p>
        </w:tc>
        <w:tc>
          <w:tcPr>
            <w:tcW w:w="9336" w:type="dxa"/>
          </w:tcPr>
          <w:p w14:paraId="7269932C" w14:textId="77777777" w:rsidR="00AB4142" w:rsidRPr="00AB4142" w:rsidRDefault="00AB4142" w:rsidP="00AB4142">
            <w:pPr>
              <w:pStyle w:val="Tabletext"/>
              <w:rPr>
                <w:lang w:eastAsia="en-US"/>
              </w:rPr>
            </w:pPr>
            <w:r w:rsidRPr="00AB4142">
              <w:rPr>
                <w:lang w:eastAsia="en-US"/>
              </w:rPr>
              <w:t>Global financial crisis: The period of extreme stress in global financial markets and banking systems between mid-2007 and early 2009.</w:t>
            </w:r>
          </w:p>
        </w:tc>
      </w:tr>
      <w:tr w:rsidR="00AB4142" w:rsidRPr="00AB4142" w14:paraId="2DCBE6D7" w14:textId="77777777">
        <w:tc>
          <w:tcPr>
            <w:tcW w:w="870" w:type="dxa"/>
          </w:tcPr>
          <w:p w14:paraId="4C0B5352" w14:textId="77777777" w:rsidR="00AB4142" w:rsidRPr="00AB4142" w:rsidRDefault="00AB4142" w:rsidP="00AB4142">
            <w:pPr>
              <w:pStyle w:val="Tabletext"/>
              <w:rPr>
                <w:lang w:eastAsia="en-US"/>
              </w:rPr>
            </w:pPr>
            <w:r w:rsidRPr="00AB4142">
              <w:rPr>
                <w:lang w:eastAsia="en-US"/>
              </w:rPr>
              <w:t>HPI</w:t>
            </w:r>
          </w:p>
        </w:tc>
        <w:tc>
          <w:tcPr>
            <w:tcW w:w="9336" w:type="dxa"/>
          </w:tcPr>
          <w:p w14:paraId="69885258" w14:textId="77777777" w:rsidR="00AB4142" w:rsidRPr="00AB4142" w:rsidRDefault="00AB4142" w:rsidP="00AB4142">
            <w:pPr>
              <w:pStyle w:val="Tabletext"/>
              <w:rPr>
                <w:lang w:eastAsia="en-US"/>
              </w:rPr>
            </w:pPr>
            <w:r w:rsidRPr="00AB4142">
              <w:rPr>
                <w:lang w:eastAsia="en-US"/>
              </w:rPr>
              <w:t xml:space="preserve">House price index: </w:t>
            </w:r>
            <w:r w:rsidRPr="00AB4142">
              <w:rPr>
                <w:rFonts w:eastAsia="Arial"/>
                <w:lang w:eastAsia="en-US"/>
              </w:rPr>
              <w:t>The index measures price change over time and is a better measure of market change than median or average sales prices, which can be heavily influenced by the composition of sales. Our preferred HPI is from REINZ.</w:t>
            </w:r>
          </w:p>
        </w:tc>
      </w:tr>
      <w:tr w:rsidR="00AB4142" w:rsidRPr="00AB4142" w14:paraId="05F6AA27" w14:textId="77777777">
        <w:tc>
          <w:tcPr>
            <w:tcW w:w="870" w:type="dxa"/>
          </w:tcPr>
          <w:p w14:paraId="02639D07" w14:textId="77777777" w:rsidR="00AB4142" w:rsidRPr="00AB4142" w:rsidRDefault="00AB4142" w:rsidP="00AB4142">
            <w:pPr>
              <w:pStyle w:val="Tabletext"/>
              <w:rPr>
                <w:lang w:eastAsia="en-US"/>
              </w:rPr>
            </w:pPr>
            <w:r w:rsidRPr="00AB4142">
              <w:rPr>
                <w:lang w:eastAsia="en-US"/>
              </w:rPr>
              <w:t>LVR</w:t>
            </w:r>
          </w:p>
        </w:tc>
        <w:tc>
          <w:tcPr>
            <w:tcW w:w="9336" w:type="dxa"/>
          </w:tcPr>
          <w:p w14:paraId="428BBDA1" w14:textId="1D07699F" w:rsidR="00AB4142" w:rsidRPr="00AB4142" w:rsidRDefault="00AB4142" w:rsidP="00AB4142">
            <w:pPr>
              <w:pStyle w:val="Tabletext"/>
              <w:rPr>
                <w:lang w:eastAsia="en-US"/>
              </w:rPr>
            </w:pPr>
            <w:r w:rsidRPr="00AB4142">
              <w:rPr>
                <w:lang w:eastAsia="en-US"/>
              </w:rPr>
              <w:t>Loan</w:t>
            </w:r>
            <w:r w:rsidR="00FF0382">
              <w:rPr>
                <w:lang w:eastAsia="en-US"/>
              </w:rPr>
              <w:t>-</w:t>
            </w:r>
            <w:r w:rsidRPr="00AB4142">
              <w:rPr>
                <w:lang w:eastAsia="en-US"/>
              </w:rPr>
              <w:t>to</w:t>
            </w:r>
            <w:r w:rsidR="00FF0382">
              <w:rPr>
                <w:lang w:eastAsia="en-US"/>
              </w:rPr>
              <w:t>-</w:t>
            </w:r>
            <w:r w:rsidRPr="00AB4142">
              <w:rPr>
                <w:lang w:eastAsia="en-US"/>
              </w:rPr>
              <w:t>value ratio: Limits on the amount of credit that banks can extend to mortgage borrowers with high LVRs (low deposits). This lessens the potential for large mortgage losses in the event of a significant correction in the housing market. LVR restrictions were implemented in October 2013 and have been adjusted from time to time.</w:t>
            </w:r>
          </w:p>
        </w:tc>
      </w:tr>
      <w:tr w:rsidR="00AB4142" w:rsidRPr="00AB4142" w14:paraId="1C658B21" w14:textId="77777777">
        <w:tc>
          <w:tcPr>
            <w:tcW w:w="870" w:type="dxa"/>
          </w:tcPr>
          <w:p w14:paraId="62EA4A6C" w14:textId="77777777" w:rsidR="00AB4142" w:rsidRPr="00AB4142" w:rsidRDefault="00AB4142" w:rsidP="00AB4142">
            <w:pPr>
              <w:pStyle w:val="Tabletext"/>
              <w:rPr>
                <w:lang w:eastAsia="en-US"/>
              </w:rPr>
            </w:pPr>
            <w:r w:rsidRPr="00AB4142">
              <w:rPr>
                <w:lang w:eastAsia="en-US"/>
              </w:rPr>
              <w:t>OCR</w:t>
            </w:r>
          </w:p>
        </w:tc>
        <w:tc>
          <w:tcPr>
            <w:tcW w:w="9336" w:type="dxa"/>
          </w:tcPr>
          <w:p w14:paraId="5135EA2C" w14:textId="77777777" w:rsidR="00AB4142" w:rsidRPr="00AB4142" w:rsidRDefault="00AB4142" w:rsidP="00AB4142">
            <w:pPr>
              <w:pStyle w:val="Tabletext"/>
              <w:rPr>
                <w:lang w:eastAsia="en-US"/>
              </w:rPr>
            </w:pPr>
            <w:r w:rsidRPr="00AB4142">
              <w:rPr>
                <w:lang w:eastAsia="en-US"/>
              </w:rPr>
              <w:t>Official cash rate: The official cash rate is set by the Monetary Policy Committee at the Reserve Bank. Monetary policy and OCR’s primary purpose is to retain an ‘inflation target of 1% to 3% over the medium-term, with a focus on the 2% mid-point’. A ‘neutral’ OCR is an interest rate band at which the rate neither stimulates nor restrains the economy.</w:t>
            </w:r>
          </w:p>
        </w:tc>
      </w:tr>
      <w:tr w:rsidR="00AB4142" w:rsidRPr="00AB4142" w14:paraId="0343C5C9" w14:textId="77777777">
        <w:tc>
          <w:tcPr>
            <w:tcW w:w="870" w:type="dxa"/>
          </w:tcPr>
          <w:p w14:paraId="7E972F1A" w14:textId="77777777" w:rsidR="00AB4142" w:rsidRPr="00AB4142" w:rsidRDefault="00AB4142" w:rsidP="00AB4142">
            <w:pPr>
              <w:pStyle w:val="Tabletext"/>
              <w:rPr>
                <w:lang w:eastAsia="en-US"/>
              </w:rPr>
            </w:pPr>
            <w:r w:rsidRPr="00AB4142">
              <w:rPr>
                <w:lang w:eastAsia="en-US"/>
              </w:rPr>
              <w:t>RPI</w:t>
            </w:r>
          </w:p>
        </w:tc>
        <w:tc>
          <w:tcPr>
            <w:tcW w:w="9336" w:type="dxa"/>
          </w:tcPr>
          <w:p w14:paraId="08F6E88B" w14:textId="77777777" w:rsidR="00AB4142" w:rsidRPr="00AB4142" w:rsidRDefault="00AB4142" w:rsidP="00AB4142">
            <w:pPr>
              <w:pStyle w:val="Tabletext"/>
              <w:rPr>
                <w:lang w:eastAsia="en-US"/>
              </w:rPr>
            </w:pPr>
            <w:r w:rsidRPr="00AB4142">
              <w:rPr>
                <w:lang w:eastAsia="en-US"/>
              </w:rPr>
              <w:t xml:space="preserve">Rental price index: The RPI measures changes in rent for private sector rentals. The ‘flow’ measure captures changes for dwellings that have a new tenancy started in the reference month. </w:t>
            </w:r>
            <w:r w:rsidRPr="00AB4142">
              <w:rPr>
                <w:kern w:val="2"/>
                <w:lang w:eastAsia="en-US"/>
                <w14:ligatures w14:val="standardContextual"/>
              </w:rPr>
              <w:t xml:space="preserve">The ‘stock’ measure shows rental price change across the whole rental population – including current tenancies. </w:t>
            </w:r>
            <w:r w:rsidRPr="00AB4142">
              <w:rPr>
                <w:lang w:eastAsia="en-US"/>
              </w:rPr>
              <w:t>Rents for existing tenancies tend to be ‘sticky’ (rise and fall more slowly), due to contractual and relationship-based considerations.</w:t>
            </w:r>
          </w:p>
        </w:tc>
      </w:tr>
      <w:tr w:rsidR="00AB4142" w:rsidRPr="00AB4142" w14:paraId="36AB4EE4" w14:textId="77777777">
        <w:tc>
          <w:tcPr>
            <w:tcW w:w="870" w:type="dxa"/>
          </w:tcPr>
          <w:p w14:paraId="5A0766B7" w14:textId="77777777" w:rsidR="00AB4142" w:rsidRPr="00AB4142" w:rsidRDefault="00AB4142" w:rsidP="00AB4142">
            <w:pPr>
              <w:pStyle w:val="Tabletext"/>
              <w:rPr>
                <w:lang w:eastAsia="en-US"/>
              </w:rPr>
            </w:pPr>
            <w:r w:rsidRPr="00AB4142">
              <w:rPr>
                <w:lang w:eastAsia="en-US"/>
              </w:rPr>
              <w:t>RBNZ</w:t>
            </w:r>
          </w:p>
        </w:tc>
        <w:tc>
          <w:tcPr>
            <w:tcW w:w="9336" w:type="dxa"/>
          </w:tcPr>
          <w:p w14:paraId="68FC6B3F" w14:textId="77777777" w:rsidR="00AB4142" w:rsidRPr="00AB4142" w:rsidRDefault="00AB4142" w:rsidP="00AB4142">
            <w:pPr>
              <w:pStyle w:val="Tabletext"/>
              <w:rPr>
                <w:lang w:eastAsia="en-US"/>
              </w:rPr>
            </w:pPr>
            <w:r w:rsidRPr="00AB4142">
              <w:rPr>
                <w:lang w:eastAsia="en-US"/>
              </w:rPr>
              <w:t xml:space="preserve">Reserve Bank of New Zealand: Aotearoa New Zealand’s central bank with responsibilities including managing inflation and monetary policy, with a core focus on the OCR. </w:t>
            </w:r>
          </w:p>
        </w:tc>
      </w:tr>
      <w:tr w:rsidR="00AB4142" w:rsidRPr="00AB4142" w14:paraId="20E0B1AD" w14:textId="77777777">
        <w:trPr>
          <w:trHeight w:val="543"/>
        </w:trPr>
        <w:tc>
          <w:tcPr>
            <w:tcW w:w="870" w:type="dxa"/>
          </w:tcPr>
          <w:p w14:paraId="64FE5618" w14:textId="77777777" w:rsidR="00AB4142" w:rsidRPr="00AB4142" w:rsidRDefault="00AB4142" w:rsidP="00AB4142">
            <w:pPr>
              <w:pStyle w:val="Tabletext"/>
              <w:rPr>
                <w:lang w:eastAsia="en-US"/>
              </w:rPr>
            </w:pPr>
            <w:r w:rsidRPr="00AB4142">
              <w:rPr>
                <w:lang w:eastAsia="en-US"/>
              </w:rPr>
              <w:t>STR</w:t>
            </w:r>
          </w:p>
          <w:p w14:paraId="0C39CBAF" w14:textId="77777777" w:rsidR="00AB4142" w:rsidRPr="00AB4142" w:rsidRDefault="00AB4142" w:rsidP="00AB4142">
            <w:pPr>
              <w:pStyle w:val="Tabletext"/>
              <w:rPr>
                <w:lang w:eastAsia="en-US"/>
              </w:rPr>
            </w:pPr>
          </w:p>
          <w:p w14:paraId="2047C0CF" w14:textId="77777777" w:rsidR="00AB4142" w:rsidRPr="00AB4142" w:rsidRDefault="00AB4142" w:rsidP="00AB4142">
            <w:pPr>
              <w:pStyle w:val="Tabletext"/>
              <w:rPr>
                <w:lang w:eastAsia="en-US"/>
              </w:rPr>
            </w:pPr>
            <w:r w:rsidRPr="00AB4142">
              <w:rPr>
                <w:lang w:eastAsia="en-US"/>
              </w:rPr>
              <w:t>Rental affordability</w:t>
            </w:r>
          </w:p>
          <w:p w14:paraId="7BBC7C91" w14:textId="77777777" w:rsidR="00AB4142" w:rsidRPr="00AB4142" w:rsidRDefault="00AB4142" w:rsidP="00AB4142">
            <w:pPr>
              <w:pStyle w:val="Tabletext"/>
              <w:rPr>
                <w:lang w:eastAsia="en-US"/>
              </w:rPr>
            </w:pPr>
          </w:p>
          <w:p w14:paraId="0903CFCC" w14:textId="77777777" w:rsidR="00AB4142" w:rsidRPr="00AB4142" w:rsidRDefault="00AB4142" w:rsidP="00AB4142">
            <w:pPr>
              <w:pStyle w:val="Tabletext"/>
              <w:rPr>
                <w:lang w:eastAsia="en-US"/>
              </w:rPr>
            </w:pPr>
            <w:r w:rsidRPr="00AB4142">
              <w:rPr>
                <w:lang w:eastAsia="en-US"/>
              </w:rPr>
              <w:t>Deposit affordability</w:t>
            </w:r>
          </w:p>
          <w:p w14:paraId="7247882B" w14:textId="77777777" w:rsidR="00AB4142" w:rsidRPr="00AB4142" w:rsidRDefault="00AB4142" w:rsidP="00AB4142">
            <w:pPr>
              <w:pStyle w:val="Tabletext"/>
              <w:rPr>
                <w:lang w:eastAsia="en-US"/>
              </w:rPr>
            </w:pPr>
          </w:p>
          <w:p w14:paraId="3D3FC944" w14:textId="77777777" w:rsidR="00AB4142" w:rsidRPr="00AB4142" w:rsidRDefault="00AB4142" w:rsidP="00AB4142">
            <w:pPr>
              <w:pStyle w:val="Tabletext"/>
              <w:rPr>
                <w:lang w:eastAsia="en-US"/>
              </w:rPr>
            </w:pPr>
            <w:r w:rsidRPr="00AB4142">
              <w:rPr>
                <w:lang w:eastAsia="en-US"/>
              </w:rPr>
              <w:t>Mortgage serviceability</w:t>
            </w:r>
          </w:p>
        </w:tc>
        <w:tc>
          <w:tcPr>
            <w:tcW w:w="9336" w:type="dxa"/>
          </w:tcPr>
          <w:p w14:paraId="5319020E" w14:textId="77777777" w:rsidR="00AB4142" w:rsidRPr="00AB4142" w:rsidRDefault="00AB4142" w:rsidP="00AB4142">
            <w:pPr>
              <w:pStyle w:val="Tabletext"/>
              <w:rPr>
                <w:lang w:eastAsia="en-US"/>
              </w:rPr>
            </w:pPr>
            <w:r w:rsidRPr="00AB4142">
              <w:rPr>
                <w:lang w:eastAsia="en-US"/>
              </w:rPr>
              <w:t>Mortgage service test rates: Used to assess a borrower’s ability to service payments should rates rise above the current borrowing. Rates can be between 1.5% to 2.5% above market rates. Test rates don’t always adjust immediately when interest rate changes.</w:t>
            </w:r>
          </w:p>
          <w:p w14:paraId="0170B073" w14:textId="77777777" w:rsidR="00AB4142" w:rsidRPr="00AB4142" w:rsidRDefault="00AB4142" w:rsidP="00AB4142">
            <w:pPr>
              <w:pStyle w:val="Tabletext"/>
              <w:rPr>
                <w:lang w:eastAsia="en-US"/>
              </w:rPr>
            </w:pPr>
            <w:r w:rsidRPr="00AB4142">
              <w:rPr>
                <w:lang w:eastAsia="en-US"/>
              </w:rPr>
              <w:t>The change in rental affordability indicator compares changes in rental prices for new tenancies with the growth in median household disposable (after tax) income. Factors that can affect rental affordability are rental prices and household disposable income. </w:t>
            </w:r>
          </w:p>
          <w:p w14:paraId="5B2DEBB1" w14:textId="77777777" w:rsidR="00AB4142" w:rsidRPr="00AB4142" w:rsidRDefault="00AB4142" w:rsidP="00AB4142">
            <w:pPr>
              <w:pStyle w:val="Tabletext"/>
              <w:rPr>
                <w:lang w:eastAsia="en-US"/>
              </w:rPr>
            </w:pPr>
            <w:r w:rsidRPr="00AB4142">
              <w:rPr>
                <w:lang w:eastAsia="en-US"/>
              </w:rPr>
              <w:t>The change in deposit affordability</w:t>
            </w:r>
            <w:r w:rsidRPr="00AB4142">
              <w:rPr>
                <w:b/>
                <w:bCs/>
                <w:lang w:eastAsia="en-US"/>
              </w:rPr>
              <w:t> </w:t>
            </w:r>
            <w:r w:rsidRPr="00AB4142">
              <w:rPr>
                <w:lang w:eastAsia="en-US"/>
              </w:rPr>
              <w:t>indicator compares changes in house sales prices with the growth in median household disposable (after tax) income. Factors that can affect deposit affordability are house sales prices and household disposable income. </w:t>
            </w:r>
          </w:p>
          <w:p w14:paraId="5A9BAA4A" w14:textId="5B3F9301" w:rsidR="00AB4142" w:rsidRPr="00AB4142" w:rsidRDefault="00AB4142" w:rsidP="00AB4142">
            <w:pPr>
              <w:pStyle w:val="Tabletext"/>
              <w:rPr>
                <w:lang w:eastAsia="en-US"/>
              </w:rPr>
            </w:pPr>
            <w:r w:rsidRPr="00AB4142">
              <w:rPr>
                <w:lang w:eastAsia="en-US"/>
              </w:rPr>
              <w:t>The change in mortgage serviceability indicator compares changes in the purchasing power of mortgage interest payments for new home loans with the growth in median household disposable (after tax) income. Factors that can affect mortgage serviceability are mortgage interest rates, house sales prices, and household disposable income. </w:t>
            </w:r>
          </w:p>
        </w:tc>
      </w:tr>
    </w:tbl>
    <w:p w14:paraId="670CF6B0" w14:textId="77777777" w:rsidR="00AB4142" w:rsidRPr="00AB4142" w:rsidRDefault="00AB4142" w:rsidP="00AB4142">
      <w:pPr>
        <w:suppressAutoHyphens/>
        <w:autoSpaceDE w:val="0"/>
        <w:autoSpaceDN w:val="0"/>
        <w:adjustRightInd w:val="0"/>
        <w:spacing w:before="240" w:line="260" w:lineRule="atLeast"/>
        <w:jc w:val="left"/>
        <w:textAlignment w:val="center"/>
        <w:outlineLvl w:val="2"/>
        <w:rPr>
          <w:rFonts w:eastAsia="Calibri" w:cs="Calibri"/>
          <w:b/>
          <w:bCs/>
          <w:color w:val="10313A"/>
          <w:sz w:val="24"/>
          <w:szCs w:val="24"/>
          <w:lang w:eastAsia="en-US"/>
        </w:rPr>
      </w:pPr>
      <w:bookmarkStart w:id="45" w:name="_Toc219981742"/>
      <w:bookmarkStart w:id="46" w:name="_Toc220435600"/>
      <w:bookmarkStart w:id="47" w:name="_Toc227850670"/>
      <w:bookmarkStart w:id="48" w:name="_Toc227855039"/>
      <w:r w:rsidRPr="00AB4142">
        <w:rPr>
          <w:rFonts w:eastAsia="Calibri" w:cs="Calibri"/>
          <w:b/>
          <w:bCs/>
          <w:color w:val="10313A"/>
          <w:sz w:val="24"/>
          <w:szCs w:val="24"/>
          <w:lang w:eastAsia="en-US"/>
        </w:rPr>
        <w:t>General terms</w:t>
      </w:r>
      <w:bookmarkEnd w:id="45"/>
      <w:bookmarkEnd w:id="46"/>
      <w:bookmarkEnd w:id="47"/>
      <w:bookmarkEnd w:id="48"/>
    </w:p>
    <w:p w14:paraId="7760AAA8" w14:textId="77777777" w:rsidR="00AB4142" w:rsidRPr="00AB4142" w:rsidRDefault="00AB4142" w:rsidP="00AB4142">
      <w:pPr>
        <w:pStyle w:val="Tabletext"/>
        <w:rPr>
          <w:lang w:eastAsia="en-US"/>
        </w:rPr>
      </w:pPr>
      <w:r w:rsidRPr="00AB4142">
        <w:rPr>
          <w:lang w:eastAsia="en-US"/>
        </w:rPr>
        <w:t>Index: Tracks value change over time, from an original benchmark but does not provide a value itself.</w:t>
      </w:r>
    </w:p>
    <w:p w14:paraId="527FDE60" w14:textId="77777777" w:rsidR="00AB4142" w:rsidRPr="00AB4142" w:rsidRDefault="00AB4142" w:rsidP="00AB4142">
      <w:pPr>
        <w:pStyle w:val="Tabletext"/>
        <w:rPr>
          <w:lang w:eastAsia="en-US"/>
        </w:rPr>
      </w:pPr>
      <w:r w:rsidRPr="00AB4142">
        <w:rPr>
          <w:lang w:eastAsia="en-US"/>
        </w:rPr>
        <w:t>Seasonal adjustment: Removes the influence of seasons from a series, for example, buyer interest in the warmer months of the year can affect price. </w:t>
      </w:r>
    </w:p>
    <w:p w14:paraId="0E82DFB8" w14:textId="77777777" w:rsidR="00AB4142" w:rsidRPr="00AB4142" w:rsidRDefault="00AB4142" w:rsidP="00AB4142">
      <w:pPr>
        <w:pStyle w:val="Tabletext"/>
        <w:rPr>
          <w:b/>
          <w:lang w:eastAsia="en-US"/>
        </w:rPr>
      </w:pPr>
      <w:r w:rsidRPr="00AB4142">
        <w:rPr>
          <w:lang w:eastAsia="en-US"/>
        </w:rPr>
        <w:t>Structural and cyclical:</w:t>
      </w:r>
      <w:r w:rsidRPr="00AB4142">
        <w:rPr>
          <w:b/>
          <w:lang w:eastAsia="en-US"/>
        </w:rPr>
        <w:t xml:space="preserve"> </w:t>
      </w:r>
      <w:r w:rsidRPr="00AB4142">
        <w:rPr>
          <w:lang w:eastAsia="en-US"/>
        </w:rPr>
        <w:t>Structural refers to fundamental, long-term shifts in an economy, while cyclical refers to short-term fluctuations tied to the business cycle.</w:t>
      </w:r>
      <w:r w:rsidRPr="00AB4142">
        <w:rPr>
          <w:b/>
          <w:lang w:eastAsia="en-US"/>
        </w:rPr>
        <w:t xml:space="preserve"> </w:t>
      </w:r>
    </w:p>
    <w:p w14:paraId="4DCD5D53" w14:textId="29F128F2" w:rsidR="00AB4142" w:rsidRPr="00AB4142" w:rsidRDefault="00AB4142" w:rsidP="00AB4142">
      <w:pPr>
        <w:pStyle w:val="Tabletext"/>
        <w:rPr>
          <w:lang w:eastAsia="en-US"/>
        </w:rPr>
      </w:pPr>
      <w:r w:rsidRPr="00AB4142">
        <w:rPr>
          <w:lang w:eastAsia="en-US"/>
        </w:rPr>
        <w:t>Tradeable and non-tradeable inflation:</w:t>
      </w:r>
      <w:r w:rsidRPr="00AB4142">
        <w:rPr>
          <w:b/>
          <w:lang w:eastAsia="en-US"/>
        </w:rPr>
        <w:t xml:space="preserve"> </w:t>
      </w:r>
      <w:r w:rsidRPr="00AB4142">
        <w:rPr>
          <w:lang w:eastAsia="en-US"/>
        </w:rPr>
        <w:t>Components of the</w:t>
      </w:r>
      <w:r w:rsidRPr="00AB4142">
        <w:rPr>
          <w:b/>
          <w:lang w:eastAsia="en-US"/>
        </w:rPr>
        <w:t xml:space="preserve"> </w:t>
      </w:r>
      <w:r w:rsidRPr="00AB4142">
        <w:rPr>
          <w:lang w:eastAsia="en-US"/>
        </w:rPr>
        <w:t>CPI</w:t>
      </w:r>
      <w:r w:rsidR="00D63890">
        <w:rPr>
          <w:lang w:eastAsia="en-US"/>
        </w:rPr>
        <w:t>;</w:t>
      </w:r>
      <w:r w:rsidRPr="00AB4142">
        <w:rPr>
          <w:lang w:eastAsia="en-US"/>
        </w:rPr>
        <w:t xml:space="preserve"> tradeable inflation coming from the price changes for imports and non-tradeable being based on domestically created products and services. </w:t>
      </w:r>
    </w:p>
    <w:p w14:paraId="5A821DEE" w14:textId="77777777" w:rsidR="00AB4142" w:rsidRPr="00AB4142" w:rsidRDefault="00AB4142" w:rsidP="00AB4142">
      <w:pPr>
        <w:pStyle w:val="Tabletext"/>
        <w:rPr>
          <w:lang w:eastAsia="en-US"/>
        </w:rPr>
      </w:pPr>
      <w:r w:rsidRPr="00AB4142">
        <w:rPr>
          <w:lang w:eastAsia="en-US"/>
        </w:rPr>
        <w:t xml:space="preserve">Also see: </w:t>
      </w:r>
      <w:hyperlink r:id="rId22">
        <w:r w:rsidRPr="00AB4142">
          <w:rPr>
            <w:color w:val="0000FF"/>
            <w:u w:val="single"/>
            <w:lang w:eastAsia="en-US"/>
          </w:rPr>
          <w:t>Statistical terms and concepts glossary | Australian Bureau of Statistics (abs.gov.au)</w:t>
        </w:r>
      </w:hyperlink>
      <w:r w:rsidRPr="00AB4142">
        <w:rPr>
          <w:lang w:eastAsia="en-US"/>
        </w:rPr>
        <w:t> </w:t>
      </w:r>
      <w:r w:rsidRPr="00AB4142">
        <w:rPr>
          <w:lang w:eastAsia="en-US"/>
        </w:rPr>
        <w:br/>
      </w:r>
      <w:r w:rsidRPr="00AB4142">
        <w:rPr>
          <w:rFonts w:eastAsia="Arial"/>
          <w:bCs/>
          <w:color w:val="003E52"/>
          <w:sz w:val="36"/>
          <w:szCs w:val="36"/>
          <w:lang w:eastAsia="en-US"/>
        </w:rPr>
        <w:br w:type="page"/>
      </w:r>
    </w:p>
    <w:p w14:paraId="4CC31910" w14:textId="77777777" w:rsidR="00AB4142" w:rsidRPr="00AB4142" w:rsidRDefault="00AB4142" w:rsidP="00AB4142">
      <w:pPr>
        <w:widowControl w:val="0"/>
        <w:autoSpaceDE w:val="0"/>
        <w:autoSpaceDN w:val="0"/>
        <w:spacing w:before="0" w:after="0" w:line="240" w:lineRule="auto"/>
        <w:jc w:val="left"/>
        <w:rPr>
          <w:rFonts w:eastAsia="Arial" w:cs="Calibri"/>
          <w:b/>
          <w:bCs/>
          <w:color w:val="003E52"/>
          <w:sz w:val="36"/>
          <w:szCs w:val="36"/>
          <w:lang w:eastAsia="en-US"/>
        </w:rPr>
        <w:sectPr w:rsidR="00AB4142" w:rsidRPr="00AB4142" w:rsidSect="00445F0A">
          <w:pgSz w:w="11906" w:h="16838" w:code="9"/>
          <w:pgMar w:top="720" w:right="720" w:bottom="720" w:left="720" w:header="709" w:footer="436" w:gutter="0"/>
          <w:cols w:space="708"/>
          <w:docGrid w:linePitch="360"/>
        </w:sectPr>
      </w:pPr>
    </w:p>
    <w:p w14:paraId="31F6FAB7" w14:textId="77777777" w:rsidR="00D319B8" w:rsidRDefault="00D319B8" w:rsidP="00182044">
      <w:pPr>
        <w:pStyle w:val="Heading2"/>
      </w:pPr>
      <w:bookmarkStart w:id="49" w:name="_Toc235108991"/>
      <w:r w:rsidRPr="00D319B8">
        <w:lastRenderedPageBreak/>
        <w:t>Rental market charts</w:t>
      </w:r>
      <w:bookmarkEnd w:id="49"/>
    </w:p>
    <w:p w14:paraId="7D0306EB" w14:textId="6A5EC39F" w:rsidR="00FA1F32" w:rsidRDefault="00215269" w:rsidP="00FA1F32">
      <w:r>
        <w:rPr>
          <w:noProof/>
        </w:rPr>
        <w:drawing>
          <wp:inline distT="0" distB="0" distL="0" distR="0" wp14:anchorId="5E976EE4" wp14:editId="72861A6F">
            <wp:extent cx="6480000" cy="2592000"/>
            <wp:effectExtent l="0" t="0" r="0" b="0"/>
            <wp:docPr id="454786139" name="Picture 45478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selected_prices_chart.png"/>
                    <pic:cNvPicPr/>
                  </pic:nvPicPr>
                  <pic:blipFill>
                    <a:blip r:embed="rId23"/>
                    <a:stretch>
                      <a:fillRect/>
                    </a:stretch>
                  </pic:blipFill>
                  <pic:spPr>
                    <a:xfrm>
                      <a:off x="0" y="0"/>
                      <a:ext cx="6480000" cy="2592000"/>
                    </a:xfrm>
                    <a:prstGeom prst="rect">
                      <a:avLst/>
                    </a:prstGeom>
                  </pic:spPr>
                </pic:pic>
              </a:graphicData>
            </a:graphic>
          </wp:inline>
        </w:drawing>
      </w:r>
    </w:p>
    <w:p w14:paraId="782D4DF8" w14:textId="5CD109D0" w:rsidR="00FA1F32" w:rsidRDefault="00BB3877" w:rsidP="00FA1F32">
      <w:r>
        <w:rPr>
          <w:noProof/>
        </w:rPr>
        <w:drawing>
          <wp:inline distT="0" distB="0" distL="0" distR="0" wp14:anchorId="24B69640" wp14:editId="0BAEC85B">
            <wp:extent cx="6480000" cy="4752000"/>
            <wp:effectExtent l="0" t="0" r="0" b="0"/>
            <wp:docPr id="1302175208" name="Picture 1302175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selected_prices_regional_chart.png"/>
                    <pic:cNvPicPr/>
                  </pic:nvPicPr>
                  <pic:blipFill>
                    <a:blip r:embed="rId24"/>
                    <a:stretch>
                      <a:fillRect/>
                    </a:stretch>
                  </pic:blipFill>
                  <pic:spPr>
                    <a:xfrm>
                      <a:off x="0" y="0"/>
                      <a:ext cx="6480000" cy="4752000"/>
                    </a:xfrm>
                    <a:prstGeom prst="rect">
                      <a:avLst/>
                    </a:prstGeom>
                  </pic:spPr>
                </pic:pic>
              </a:graphicData>
            </a:graphic>
          </wp:inline>
        </w:drawing>
      </w:r>
    </w:p>
    <w:p w14:paraId="7D1512CF" w14:textId="6AF14191" w:rsidR="00FA1F32" w:rsidRDefault="00FA1F32" w:rsidP="00FA1F32"/>
    <w:p w14:paraId="6EE982FE" w14:textId="36BB6479" w:rsidR="00130864" w:rsidRDefault="00130864" w:rsidP="00FA1F32"/>
    <w:p w14:paraId="2C7F88CF" w14:textId="4E092478" w:rsidR="00FA1F32" w:rsidRDefault="00FA1F32" w:rsidP="00FA1F32"/>
    <w:p w14:paraId="2EA358A9" w14:textId="5B38F039" w:rsidR="00FA1F32" w:rsidRDefault="00FA32C1" w:rsidP="00FA1F32">
      <w:r>
        <w:rPr>
          <w:noProof/>
        </w:rPr>
        <w:lastRenderedPageBreak/>
        <w:drawing>
          <wp:inline distT="0" distB="0" distL="0" distR="0" wp14:anchorId="4FF3DD22" wp14:editId="597749F3">
            <wp:extent cx="6480000" cy="2592000"/>
            <wp:effectExtent l="0" t="0" r="0" b="0"/>
            <wp:docPr id="440594482" name="Picture 44059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d_housing_chart.png"/>
                    <pic:cNvPicPr/>
                  </pic:nvPicPr>
                  <pic:blipFill>
                    <a:blip r:embed="rId25"/>
                    <a:stretch>
                      <a:fillRect/>
                    </a:stretch>
                  </pic:blipFill>
                  <pic:spPr>
                    <a:xfrm>
                      <a:off x="0" y="0"/>
                      <a:ext cx="6480000" cy="2592000"/>
                    </a:xfrm>
                    <a:prstGeom prst="rect">
                      <a:avLst/>
                    </a:prstGeom>
                  </pic:spPr>
                </pic:pic>
              </a:graphicData>
            </a:graphic>
          </wp:inline>
        </w:drawing>
      </w:r>
    </w:p>
    <w:p w14:paraId="7F3F32F5" w14:textId="56D7DFE3" w:rsidR="00FA1F32" w:rsidRPr="00FA1F32" w:rsidRDefault="00A747E7" w:rsidP="00FA1F32">
      <w:pPr>
        <w:sectPr w:rsidR="00FA1F32" w:rsidRPr="00FA1F32" w:rsidSect="00FA1F32">
          <w:pgSz w:w="11906" w:h="16838" w:code="9"/>
          <w:pgMar w:top="720" w:right="720" w:bottom="720" w:left="720" w:header="709" w:footer="709" w:gutter="0"/>
          <w:cols w:space="708"/>
          <w:docGrid w:linePitch="360"/>
        </w:sectPr>
      </w:pPr>
      <w:r>
        <w:rPr>
          <w:noProof/>
        </w:rPr>
        <w:drawing>
          <wp:inline distT="0" distB="0" distL="0" distR="0" wp14:anchorId="32B4E31A" wp14:editId="60793BE7">
            <wp:extent cx="6480000" cy="4752000"/>
            <wp:effectExtent l="0" t="0" r="0" b="0"/>
            <wp:docPr id="1302175214" name="Picture 1302175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d_housing_regional_chart.png"/>
                    <pic:cNvPicPr/>
                  </pic:nvPicPr>
                  <pic:blipFill>
                    <a:blip r:embed="rId26"/>
                    <a:stretch>
                      <a:fillRect/>
                    </a:stretch>
                  </pic:blipFill>
                  <pic:spPr>
                    <a:xfrm>
                      <a:off x="0" y="0"/>
                      <a:ext cx="6480000" cy="4752000"/>
                    </a:xfrm>
                    <a:prstGeom prst="rect">
                      <a:avLst/>
                    </a:prstGeom>
                  </pic:spPr>
                </pic:pic>
              </a:graphicData>
            </a:graphic>
          </wp:inline>
        </w:drawing>
      </w:r>
    </w:p>
    <w:p w14:paraId="3DD908ED" w14:textId="77777777" w:rsidR="00FA1F32" w:rsidRDefault="00FA1F32" w:rsidP="00FA1F32">
      <w:pPr>
        <w:pStyle w:val="Heading2"/>
      </w:pPr>
      <w:bookmarkStart w:id="50" w:name="_Toc235108992"/>
      <w:r>
        <w:lastRenderedPageBreak/>
        <w:t>Property Market Charts</w:t>
      </w:r>
      <w:bookmarkEnd w:id="50"/>
    </w:p>
    <w:p w14:paraId="4A384AA8" w14:textId="5A7249E0" w:rsidR="00FA1F32" w:rsidRDefault="00B473AC" w:rsidP="00FA1F32">
      <w:r w:rsidRPr="00B473AC">
        <w:rPr>
          <w:noProof/>
        </w:rPr>
        <w:drawing>
          <wp:inline distT="0" distB="0" distL="0" distR="0" wp14:anchorId="4F453F86" wp14:editId="4F37B7E2">
            <wp:extent cx="6645910" cy="2658110"/>
            <wp:effectExtent l="0" t="0" r="2540" b="8890"/>
            <wp:docPr id="24135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52853" name=""/>
                    <pic:cNvPicPr/>
                  </pic:nvPicPr>
                  <pic:blipFill>
                    <a:blip r:embed="rId27"/>
                    <a:stretch>
                      <a:fillRect/>
                    </a:stretch>
                  </pic:blipFill>
                  <pic:spPr>
                    <a:xfrm>
                      <a:off x="0" y="0"/>
                      <a:ext cx="6645910" cy="2658110"/>
                    </a:xfrm>
                    <a:prstGeom prst="rect">
                      <a:avLst/>
                    </a:prstGeom>
                  </pic:spPr>
                </pic:pic>
              </a:graphicData>
            </a:graphic>
          </wp:inline>
        </w:drawing>
      </w:r>
    </w:p>
    <w:p w14:paraId="6C94F1B6" w14:textId="6D8903FE" w:rsidR="00FA1F32" w:rsidRDefault="00B230AA" w:rsidP="00FA1F32">
      <w:r>
        <w:rPr>
          <w:noProof/>
        </w:rPr>
        <w:drawing>
          <wp:inline distT="0" distB="0" distL="0" distR="0" wp14:anchorId="3116C583" wp14:editId="51A3F619">
            <wp:extent cx="6480000" cy="4752000"/>
            <wp:effectExtent l="0" t="0" r="0" b="0"/>
            <wp:docPr id="1302175216" name="Picture 130217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inz_hpi_regional_chart.png"/>
                    <pic:cNvPicPr/>
                  </pic:nvPicPr>
                  <pic:blipFill>
                    <a:blip r:embed="rId28"/>
                    <a:stretch>
                      <a:fillRect/>
                    </a:stretch>
                  </pic:blipFill>
                  <pic:spPr>
                    <a:xfrm>
                      <a:off x="0" y="0"/>
                      <a:ext cx="6480000" cy="4752000"/>
                    </a:xfrm>
                    <a:prstGeom prst="rect">
                      <a:avLst/>
                    </a:prstGeom>
                  </pic:spPr>
                </pic:pic>
              </a:graphicData>
            </a:graphic>
          </wp:inline>
        </w:drawing>
      </w:r>
    </w:p>
    <w:p w14:paraId="2909B56D" w14:textId="36DC3603" w:rsidR="00FA1F32" w:rsidRDefault="00FA1F32" w:rsidP="00FA1F32"/>
    <w:p w14:paraId="7481D60F" w14:textId="408DDA26" w:rsidR="00FA1F32" w:rsidRDefault="00FA1F32" w:rsidP="00FA1F32"/>
    <w:p w14:paraId="33FDF7E2" w14:textId="0373EE1E" w:rsidR="00FA1F32" w:rsidRDefault="00FA1F32" w:rsidP="00FA1F32"/>
    <w:p w14:paraId="311B6B73" w14:textId="636344A1" w:rsidR="00FA1F32" w:rsidRDefault="00E626E1" w:rsidP="00FA1F32">
      <w:r>
        <w:rPr>
          <w:noProof/>
        </w:rPr>
        <w:lastRenderedPageBreak/>
        <w:drawing>
          <wp:inline distT="0" distB="0" distL="0" distR="0" wp14:anchorId="5FA54FB9" wp14:editId="63F04512">
            <wp:extent cx="6480000" cy="2592000"/>
            <wp:effectExtent l="0" t="0" r="0" b="0"/>
            <wp:docPr id="756440096" name="Picture 75644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i_mortgages_chart.png"/>
                    <pic:cNvPicPr/>
                  </pic:nvPicPr>
                  <pic:blipFill>
                    <a:blip r:embed="rId29"/>
                    <a:stretch>
                      <a:fillRect/>
                    </a:stretch>
                  </pic:blipFill>
                  <pic:spPr>
                    <a:xfrm>
                      <a:off x="0" y="0"/>
                      <a:ext cx="6480000" cy="2592000"/>
                    </a:xfrm>
                    <a:prstGeom prst="rect">
                      <a:avLst/>
                    </a:prstGeom>
                  </pic:spPr>
                </pic:pic>
              </a:graphicData>
            </a:graphic>
          </wp:inline>
        </w:drawing>
      </w:r>
    </w:p>
    <w:p w14:paraId="03F5E629" w14:textId="72FEBDD0" w:rsidR="00FA1F32" w:rsidRDefault="007833D0" w:rsidP="00FA1F32">
      <w:r>
        <w:rPr>
          <w:noProof/>
        </w:rPr>
        <w:drawing>
          <wp:inline distT="0" distB="0" distL="0" distR="0" wp14:anchorId="36FCFAD5" wp14:editId="222F7BA5">
            <wp:extent cx="6480000" cy="2592000"/>
            <wp:effectExtent l="0" t="0" r="0" b="0"/>
            <wp:docPr id="828620953" name="Picture 82862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nz_special_rates_chart.png"/>
                    <pic:cNvPicPr/>
                  </pic:nvPicPr>
                  <pic:blipFill>
                    <a:blip r:embed="rId30"/>
                    <a:stretch>
                      <a:fillRect/>
                    </a:stretch>
                  </pic:blipFill>
                  <pic:spPr>
                    <a:xfrm>
                      <a:off x="0" y="0"/>
                      <a:ext cx="6480000" cy="2592000"/>
                    </a:xfrm>
                    <a:prstGeom prst="rect">
                      <a:avLst/>
                    </a:prstGeom>
                  </pic:spPr>
                </pic:pic>
              </a:graphicData>
            </a:graphic>
          </wp:inline>
        </w:drawing>
      </w:r>
      <w:r w:rsidR="00CF7CF6">
        <w:rPr>
          <w:noProof/>
        </w:rPr>
        <w:drawing>
          <wp:inline distT="0" distB="0" distL="0" distR="0" wp14:anchorId="31C4B692" wp14:editId="629CC8FE">
            <wp:extent cx="6479540" cy="2591435"/>
            <wp:effectExtent l="0" t="0" r="0" b="0"/>
            <wp:docPr id="130217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75222" name="Picture 1302175222"/>
                    <pic:cNvPicPr>
                      <a:picLocks noChangeAspect="1"/>
                    </pic:cNvPicPr>
                  </pic:nvPicPr>
                  <pic:blipFill>
                    <a:blip r:embed="rId31"/>
                    <a:stretch>
                      <a:fillRect/>
                    </a:stretch>
                  </pic:blipFill>
                  <pic:spPr>
                    <a:xfrm>
                      <a:off x="0" y="0"/>
                      <a:ext cx="6479540" cy="2591435"/>
                    </a:xfrm>
                    <a:prstGeom prst="rect">
                      <a:avLst/>
                    </a:prstGeom>
                  </pic:spPr>
                </pic:pic>
              </a:graphicData>
            </a:graphic>
          </wp:inline>
        </w:drawing>
      </w:r>
    </w:p>
    <w:p w14:paraId="0B8B5C09" w14:textId="265FA97A" w:rsidR="00FA1F32" w:rsidRDefault="007833D0" w:rsidP="00FA1F32">
      <w:r>
        <w:rPr>
          <w:noProof/>
        </w:rPr>
        <w:lastRenderedPageBreak/>
        <w:drawing>
          <wp:inline distT="0" distB="0" distL="0" distR="0" wp14:anchorId="21EE2938" wp14:editId="48B01698">
            <wp:extent cx="6480000" cy="2592000"/>
            <wp:effectExtent l="0" t="0" r="0" b="0"/>
            <wp:docPr id="1116145091" name="Picture 1116145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nz_new_mortgages_fhb_chart.png"/>
                    <pic:cNvPicPr/>
                  </pic:nvPicPr>
                  <pic:blipFill>
                    <a:blip r:embed="rId32"/>
                    <a:stretch>
                      <a:fillRect/>
                    </a:stretch>
                  </pic:blipFill>
                  <pic:spPr>
                    <a:xfrm>
                      <a:off x="0" y="0"/>
                      <a:ext cx="6480000" cy="2592000"/>
                    </a:xfrm>
                    <a:prstGeom prst="rect">
                      <a:avLst/>
                    </a:prstGeom>
                  </pic:spPr>
                </pic:pic>
              </a:graphicData>
            </a:graphic>
          </wp:inline>
        </w:drawing>
      </w:r>
    </w:p>
    <w:p w14:paraId="7C566E07" w14:textId="41179A0C" w:rsidR="00FA1F32" w:rsidRDefault="00FA1F32" w:rsidP="00FA1F32"/>
    <w:p w14:paraId="4AC7120B" w14:textId="266B9A46" w:rsidR="00E73F3A" w:rsidRPr="00E73F3A" w:rsidRDefault="00611677" w:rsidP="00E73F3A">
      <w:r>
        <w:rPr>
          <w:noProof/>
        </w:rPr>
        <w:drawing>
          <wp:inline distT="0" distB="0" distL="0" distR="0" wp14:anchorId="36163489" wp14:editId="0CEA3FD8">
            <wp:extent cx="6480000" cy="2592000"/>
            <wp:effectExtent l="0" t="0" r="0" b="0"/>
            <wp:docPr id="1767923088" name="Picture 176792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nz_new_mortgages_lvr_chart.png"/>
                    <pic:cNvPicPr/>
                  </pic:nvPicPr>
                  <pic:blipFill>
                    <a:blip r:embed="rId33"/>
                    <a:stretch>
                      <a:fillRect/>
                    </a:stretch>
                  </pic:blipFill>
                  <pic:spPr>
                    <a:xfrm>
                      <a:off x="0" y="0"/>
                      <a:ext cx="6480000" cy="2592000"/>
                    </a:xfrm>
                    <a:prstGeom prst="rect">
                      <a:avLst/>
                    </a:prstGeom>
                  </pic:spPr>
                </pic:pic>
              </a:graphicData>
            </a:graphic>
          </wp:inline>
        </w:drawing>
      </w:r>
      <w:r w:rsidR="00E73F3A" w:rsidRPr="00E73F3A">
        <w:rPr>
          <w:noProof/>
        </w:rPr>
        <w:drawing>
          <wp:inline distT="0" distB="0" distL="0" distR="0" wp14:anchorId="0B620784" wp14:editId="3A0329E9">
            <wp:extent cx="6645910" cy="2658110"/>
            <wp:effectExtent l="0" t="0" r="2540" b="8890"/>
            <wp:docPr id="4953136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45910" cy="2658110"/>
                    </a:xfrm>
                    <a:prstGeom prst="rect">
                      <a:avLst/>
                    </a:prstGeom>
                    <a:noFill/>
                    <a:ln>
                      <a:noFill/>
                    </a:ln>
                  </pic:spPr>
                </pic:pic>
              </a:graphicData>
            </a:graphic>
          </wp:inline>
        </w:drawing>
      </w:r>
    </w:p>
    <w:p w14:paraId="59671A53" w14:textId="520C0796" w:rsidR="00BC2826" w:rsidRPr="00BC2826" w:rsidRDefault="00BC2826" w:rsidP="00BC2826"/>
    <w:p w14:paraId="1AC7FB8E" w14:textId="6369B7B8" w:rsidR="00FA1F32" w:rsidRDefault="00FA1F32" w:rsidP="00FA1F32"/>
    <w:p w14:paraId="050A378D" w14:textId="0488D89D" w:rsidR="00FA1F32" w:rsidRDefault="00E63E28" w:rsidP="00FA1F32">
      <w:r>
        <w:rPr>
          <w:noProof/>
        </w:rPr>
        <w:lastRenderedPageBreak/>
        <w:drawing>
          <wp:inline distT="0" distB="0" distL="0" distR="0" wp14:anchorId="67E706C6" wp14:editId="24FBBC9D">
            <wp:extent cx="6480000" cy="2592000"/>
            <wp:effectExtent l="0" t="0" r="0" b="0"/>
            <wp:docPr id="236042599" name="Picture 23604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nz_nonperforming_loans_chart.png"/>
                    <pic:cNvPicPr/>
                  </pic:nvPicPr>
                  <pic:blipFill>
                    <a:blip r:embed="rId35"/>
                    <a:stretch>
                      <a:fillRect/>
                    </a:stretch>
                  </pic:blipFill>
                  <pic:spPr>
                    <a:xfrm>
                      <a:off x="0" y="0"/>
                      <a:ext cx="6480000" cy="2592000"/>
                    </a:xfrm>
                    <a:prstGeom prst="rect">
                      <a:avLst/>
                    </a:prstGeom>
                  </pic:spPr>
                </pic:pic>
              </a:graphicData>
            </a:graphic>
          </wp:inline>
        </w:drawing>
      </w:r>
    </w:p>
    <w:p w14:paraId="7401E234" w14:textId="53C65220" w:rsidR="00FA1F32" w:rsidRDefault="003B027F" w:rsidP="00FA1F32">
      <w:r>
        <w:rPr>
          <w:noProof/>
        </w:rPr>
        <w:drawing>
          <wp:inline distT="0" distB="0" distL="0" distR="0" wp14:anchorId="6F754C3D" wp14:editId="01FAB162">
            <wp:extent cx="6480000" cy="2592000"/>
            <wp:effectExtent l="0" t="0" r="0" b="0"/>
            <wp:docPr id="1756445479" name="Picture 175644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d_kiwisaver_chart.png"/>
                    <pic:cNvPicPr/>
                  </pic:nvPicPr>
                  <pic:blipFill>
                    <a:blip r:embed="rId36"/>
                    <a:stretch>
                      <a:fillRect/>
                    </a:stretch>
                  </pic:blipFill>
                  <pic:spPr>
                    <a:xfrm>
                      <a:off x="0" y="0"/>
                      <a:ext cx="6480000" cy="2592000"/>
                    </a:xfrm>
                    <a:prstGeom prst="rect">
                      <a:avLst/>
                    </a:prstGeom>
                  </pic:spPr>
                </pic:pic>
              </a:graphicData>
            </a:graphic>
          </wp:inline>
        </w:drawing>
      </w:r>
    </w:p>
    <w:p w14:paraId="074FD7C2" w14:textId="77777777" w:rsidR="00FA1F32" w:rsidRDefault="00FA1F32" w:rsidP="00FA1F32">
      <w:pPr>
        <w:rPr>
          <w:rFonts w:asciiTheme="minorBidi" w:hAnsiTheme="minorBidi"/>
          <w:b/>
          <w:bCs/>
          <w:sz w:val="32"/>
          <w:szCs w:val="32"/>
        </w:rPr>
        <w:sectPr w:rsidR="00FA1F32" w:rsidSect="00FA1F32">
          <w:pgSz w:w="11906" w:h="16838" w:code="9"/>
          <w:pgMar w:top="720" w:right="720" w:bottom="720" w:left="720" w:header="709" w:footer="709" w:gutter="0"/>
          <w:cols w:space="708"/>
          <w:docGrid w:linePitch="360"/>
        </w:sectPr>
      </w:pPr>
    </w:p>
    <w:p w14:paraId="47A7640D" w14:textId="77777777" w:rsidR="00FA1F32" w:rsidRDefault="00FA1F32" w:rsidP="004B5AFB">
      <w:pPr>
        <w:pStyle w:val="Heading2"/>
        <w:ind w:left="-993" w:right="-993"/>
      </w:pPr>
      <w:bookmarkStart w:id="51" w:name="_Toc235108993"/>
      <w:r>
        <w:lastRenderedPageBreak/>
        <w:t>Residential Construction Market Charts</w:t>
      </w:r>
      <w:bookmarkEnd w:id="51"/>
    </w:p>
    <w:p w14:paraId="059B897A" w14:textId="438429AA" w:rsidR="004B5AFB" w:rsidRDefault="004B5AFB" w:rsidP="004B5AFB">
      <w:pPr>
        <w:ind w:left="-993"/>
      </w:pPr>
    </w:p>
    <w:p w14:paraId="02CC6E72" w14:textId="007F75A5" w:rsidR="004B5AFB" w:rsidRDefault="00704794" w:rsidP="004B5AFB">
      <w:pPr>
        <w:ind w:left="-993"/>
      </w:pPr>
      <w:r>
        <w:rPr>
          <w:noProof/>
        </w:rPr>
        <w:drawing>
          <wp:inline distT="0" distB="0" distL="0" distR="0" wp14:anchorId="34D0DF82" wp14:editId="0B0EC073">
            <wp:extent cx="6812626" cy="2724150"/>
            <wp:effectExtent l="0" t="0" r="7620" b="0"/>
            <wp:docPr id="1369370092" name="Picture 136937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building_consents_chart.png"/>
                    <pic:cNvPicPr/>
                  </pic:nvPicPr>
                  <pic:blipFill>
                    <a:blip r:embed="rId37"/>
                    <a:stretch>
                      <a:fillRect/>
                    </a:stretch>
                  </pic:blipFill>
                  <pic:spPr>
                    <a:xfrm>
                      <a:off x="0" y="0"/>
                      <a:ext cx="6816504" cy="2725701"/>
                    </a:xfrm>
                    <a:prstGeom prst="rect">
                      <a:avLst/>
                    </a:prstGeom>
                  </pic:spPr>
                </pic:pic>
              </a:graphicData>
            </a:graphic>
          </wp:inline>
        </w:drawing>
      </w:r>
    </w:p>
    <w:p w14:paraId="5A9BDA01" w14:textId="77777777" w:rsidR="004B5AFB" w:rsidRDefault="004B5AFB" w:rsidP="004B5AFB">
      <w:pPr>
        <w:ind w:left="-993"/>
      </w:pPr>
    </w:p>
    <w:p w14:paraId="33312319" w14:textId="76F60965" w:rsidR="004B5AFB" w:rsidRDefault="00704794" w:rsidP="004B5AFB">
      <w:pPr>
        <w:ind w:left="-993"/>
      </w:pPr>
      <w:r>
        <w:rPr>
          <w:noProof/>
        </w:rPr>
        <w:drawing>
          <wp:inline distT="0" distB="0" distL="0" distR="0" wp14:anchorId="57D36A71" wp14:editId="68C6086F">
            <wp:extent cx="6891403" cy="2755900"/>
            <wp:effectExtent l="0" t="0" r="5080" b="6350"/>
            <wp:docPr id="1302175228" name="Picture 130217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building_consents_perk_chart.png"/>
                    <pic:cNvPicPr/>
                  </pic:nvPicPr>
                  <pic:blipFill>
                    <a:blip r:embed="rId38"/>
                    <a:stretch>
                      <a:fillRect/>
                    </a:stretch>
                  </pic:blipFill>
                  <pic:spPr>
                    <a:xfrm>
                      <a:off x="0" y="0"/>
                      <a:ext cx="6894502" cy="2757139"/>
                    </a:xfrm>
                    <a:prstGeom prst="rect">
                      <a:avLst/>
                    </a:prstGeom>
                  </pic:spPr>
                </pic:pic>
              </a:graphicData>
            </a:graphic>
          </wp:inline>
        </w:drawing>
      </w:r>
    </w:p>
    <w:p w14:paraId="784D6F47" w14:textId="77777777" w:rsidR="004B5AFB" w:rsidRDefault="004B5AFB" w:rsidP="004B5AFB">
      <w:pPr>
        <w:ind w:left="-993"/>
      </w:pPr>
    </w:p>
    <w:p w14:paraId="7BB61ADD" w14:textId="42BA805F" w:rsidR="00FA1F32" w:rsidRDefault="00FA1F32" w:rsidP="004B5AFB">
      <w:pPr>
        <w:ind w:left="-993"/>
      </w:pPr>
    </w:p>
    <w:p w14:paraId="14318FD1" w14:textId="23828E6A" w:rsidR="00FA1F32" w:rsidRDefault="00A8322D" w:rsidP="004B5AFB">
      <w:pPr>
        <w:ind w:left="-993"/>
      </w:pPr>
      <w:r>
        <w:rPr>
          <w:noProof/>
        </w:rPr>
        <w:lastRenderedPageBreak/>
        <w:drawing>
          <wp:inline distT="0" distB="0" distL="0" distR="0" wp14:anchorId="629E3C9E" wp14:editId="6F704CF4">
            <wp:extent cx="6650124" cy="4876800"/>
            <wp:effectExtent l="0" t="0" r="0" b="0"/>
            <wp:docPr id="1302175229" name="Picture 130217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building_consents_perk_regional_chart.png"/>
                    <pic:cNvPicPr/>
                  </pic:nvPicPr>
                  <pic:blipFill>
                    <a:blip r:embed="rId39"/>
                    <a:stretch>
                      <a:fillRect/>
                    </a:stretch>
                  </pic:blipFill>
                  <pic:spPr>
                    <a:xfrm>
                      <a:off x="0" y="0"/>
                      <a:ext cx="6659538" cy="4883703"/>
                    </a:xfrm>
                    <a:prstGeom prst="rect">
                      <a:avLst/>
                    </a:prstGeom>
                  </pic:spPr>
                </pic:pic>
              </a:graphicData>
            </a:graphic>
          </wp:inline>
        </w:drawing>
      </w:r>
    </w:p>
    <w:p w14:paraId="4C66FE65" w14:textId="7D7B26F9" w:rsidR="00FA1F32" w:rsidRDefault="00D54217" w:rsidP="004B5AFB">
      <w:pPr>
        <w:ind w:left="-993"/>
      </w:pPr>
      <w:r>
        <w:rPr>
          <w:noProof/>
        </w:rPr>
        <w:t xml:space="preserve"> </w:t>
      </w:r>
      <w:r w:rsidR="004B5AFB">
        <w:rPr>
          <w:noProof/>
        </w:rPr>
        <w:drawing>
          <wp:inline distT="0" distB="0" distL="0" distR="0" wp14:anchorId="78930E19" wp14:editId="35E48E58">
            <wp:extent cx="6815598" cy="2725838"/>
            <wp:effectExtent l="0" t="0" r="4445" b="0"/>
            <wp:docPr id="122137974" name="Picture 12213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building_work_chart.png"/>
                    <pic:cNvPicPr/>
                  </pic:nvPicPr>
                  <pic:blipFill>
                    <a:blip r:embed="rId40"/>
                    <a:stretch>
                      <a:fillRect/>
                    </a:stretch>
                  </pic:blipFill>
                  <pic:spPr>
                    <a:xfrm>
                      <a:off x="0" y="0"/>
                      <a:ext cx="6832596" cy="2732636"/>
                    </a:xfrm>
                    <a:prstGeom prst="rect">
                      <a:avLst/>
                    </a:prstGeom>
                  </pic:spPr>
                </pic:pic>
              </a:graphicData>
            </a:graphic>
          </wp:inline>
        </w:drawing>
      </w:r>
    </w:p>
    <w:p w14:paraId="263A4EBF" w14:textId="422C7424" w:rsidR="00FA1F32" w:rsidRDefault="004B5AFB" w:rsidP="004B5AFB">
      <w:pPr>
        <w:ind w:left="-993"/>
      </w:pPr>
      <w:r>
        <w:rPr>
          <w:noProof/>
        </w:rPr>
        <w:lastRenderedPageBreak/>
        <w:drawing>
          <wp:inline distT="0" distB="0" distL="0" distR="0" wp14:anchorId="3E70647E" wp14:editId="3E176539">
            <wp:extent cx="6743247" cy="2696902"/>
            <wp:effectExtent l="0" t="0" r="635" b="8255"/>
            <wp:docPr id="1401361001" name="Picture 140136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nz_bank_loans_chart.png"/>
                    <pic:cNvPicPr/>
                  </pic:nvPicPr>
                  <pic:blipFill>
                    <a:blip r:embed="rId41"/>
                    <a:stretch>
                      <a:fillRect/>
                    </a:stretch>
                  </pic:blipFill>
                  <pic:spPr>
                    <a:xfrm>
                      <a:off x="0" y="0"/>
                      <a:ext cx="6756427" cy="2702173"/>
                    </a:xfrm>
                    <a:prstGeom prst="rect">
                      <a:avLst/>
                    </a:prstGeom>
                  </pic:spPr>
                </pic:pic>
              </a:graphicData>
            </a:graphic>
          </wp:inline>
        </w:drawing>
      </w:r>
      <w:r w:rsidR="00F55346">
        <w:rPr>
          <w:noProof/>
        </w:rPr>
        <w:drawing>
          <wp:inline distT="0" distB="0" distL="0" distR="0" wp14:anchorId="45CB3986" wp14:editId="15F68979">
            <wp:extent cx="6584069" cy="2633240"/>
            <wp:effectExtent l="0" t="0" r="7620" b="0"/>
            <wp:docPr id="932129619" name="Picture 93212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employment_construction_chart.png"/>
                    <pic:cNvPicPr/>
                  </pic:nvPicPr>
                  <pic:blipFill>
                    <a:blip r:embed="rId42"/>
                    <a:stretch>
                      <a:fillRect/>
                    </a:stretch>
                  </pic:blipFill>
                  <pic:spPr>
                    <a:xfrm>
                      <a:off x="0" y="0"/>
                      <a:ext cx="6601715" cy="2640297"/>
                    </a:xfrm>
                    <a:prstGeom prst="rect">
                      <a:avLst/>
                    </a:prstGeom>
                  </pic:spPr>
                </pic:pic>
              </a:graphicData>
            </a:graphic>
          </wp:inline>
        </w:drawing>
      </w:r>
    </w:p>
    <w:p w14:paraId="25EBB800" w14:textId="51CB2BAA" w:rsidR="00FA1F32" w:rsidRDefault="00C22530" w:rsidP="004B5AFB">
      <w:pPr>
        <w:ind w:left="-993"/>
      </w:pPr>
      <w:r>
        <w:rPr>
          <w:noProof/>
        </w:rPr>
        <w:drawing>
          <wp:inline distT="0" distB="0" distL="0" distR="0" wp14:anchorId="2CFD72AF" wp14:editId="29D629C0">
            <wp:extent cx="6656422" cy="2662177"/>
            <wp:effectExtent l="0" t="0" r="0" b="5080"/>
            <wp:docPr id="1979324052" name="Picture 197932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bie_jobs_online_chart.png"/>
                    <pic:cNvPicPr/>
                  </pic:nvPicPr>
                  <pic:blipFill>
                    <a:blip r:embed="rId43"/>
                    <a:stretch>
                      <a:fillRect/>
                    </a:stretch>
                  </pic:blipFill>
                  <pic:spPr>
                    <a:xfrm>
                      <a:off x="0" y="0"/>
                      <a:ext cx="6677455" cy="2670589"/>
                    </a:xfrm>
                    <a:prstGeom prst="rect">
                      <a:avLst/>
                    </a:prstGeom>
                  </pic:spPr>
                </pic:pic>
              </a:graphicData>
            </a:graphic>
          </wp:inline>
        </w:drawing>
      </w:r>
    </w:p>
    <w:p w14:paraId="5EFE9DD5" w14:textId="06F29BB6" w:rsidR="00FA1F32" w:rsidRDefault="00FA1F32" w:rsidP="004B5AFB">
      <w:pPr>
        <w:ind w:left="-993"/>
      </w:pPr>
    </w:p>
    <w:p w14:paraId="68F9D94E" w14:textId="2E83EFE9" w:rsidR="00FA1F32" w:rsidRDefault="00FA1F32" w:rsidP="004B5AFB">
      <w:pPr>
        <w:ind w:left="-993"/>
      </w:pPr>
    </w:p>
    <w:p w14:paraId="541278E0" w14:textId="52813C28" w:rsidR="00FA1F32" w:rsidRDefault="00892B26" w:rsidP="004B5AFB">
      <w:pPr>
        <w:ind w:left="-993"/>
      </w:pPr>
      <w:r>
        <w:rPr>
          <w:noProof/>
        </w:rPr>
        <w:lastRenderedPageBreak/>
        <w:drawing>
          <wp:inline distT="0" distB="0" distL="0" distR="0" wp14:anchorId="42EDBAC6" wp14:editId="44703309">
            <wp:extent cx="6635609" cy="2654104"/>
            <wp:effectExtent l="0" t="0" r="0" b="0"/>
            <wp:docPr id="1302175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75219" name="Picture 1302175219"/>
                    <pic:cNvPicPr>
                      <a:picLocks noChangeAspect="1"/>
                    </pic:cNvPicPr>
                  </pic:nvPicPr>
                  <pic:blipFill>
                    <a:blip r:embed="rId44"/>
                    <a:stretch>
                      <a:fillRect/>
                    </a:stretch>
                  </pic:blipFill>
                  <pic:spPr>
                    <a:xfrm>
                      <a:off x="0" y="0"/>
                      <a:ext cx="6657219" cy="2662747"/>
                    </a:xfrm>
                    <a:prstGeom prst="rect">
                      <a:avLst/>
                    </a:prstGeom>
                  </pic:spPr>
                </pic:pic>
              </a:graphicData>
            </a:graphic>
          </wp:inline>
        </w:drawing>
      </w:r>
    </w:p>
    <w:p w14:paraId="63B406A9" w14:textId="77777777" w:rsidR="00FA1F32" w:rsidRPr="00381856" w:rsidRDefault="00FA1F32" w:rsidP="004B5AFB">
      <w:pPr>
        <w:pStyle w:val="HMUheader1"/>
        <w:ind w:left="-993"/>
      </w:pPr>
    </w:p>
    <w:p w14:paraId="66FE27D1" w14:textId="77777777" w:rsidR="00182044" w:rsidRPr="00182044" w:rsidRDefault="00182044" w:rsidP="004B5AFB">
      <w:pPr>
        <w:pStyle w:val="BodyText"/>
        <w:ind w:left="-993"/>
      </w:pPr>
    </w:p>
    <w:p w14:paraId="0B69CA27" w14:textId="77777777" w:rsidR="00D319B8" w:rsidRDefault="00D319B8" w:rsidP="004B5AFB">
      <w:pPr>
        <w:spacing w:before="0" w:after="200" w:line="276" w:lineRule="auto"/>
        <w:ind w:left="-993"/>
        <w:jc w:val="left"/>
        <w:rPr>
          <w:rFonts w:ascii="Georgia" w:eastAsiaTheme="majorEastAsia" w:hAnsi="Georgia" w:cstheme="majorBidi"/>
          <w:b/>
          <w:bCs/>
          <w:color w:val="005B73"/>
          <w:sz w:val="48"/>
          <w:szCs w:val="28"/>
        </w:rPr>
      </w:pPr>
      <w:r>
        <w:br w:type="page"/>
      </w:r>
    </w:p>
    <w:p w14:paraId="2AEC841F" w14:textId="309C98B2" w:rsidR="00182044" w:rsidRDefault="00182044" w:rsidP="004B5AFB">
      <w:pPr>
        <w:pStyle w:val="Heading2"/>
        <w:ind w:left="-993"/>
      </w:pPr>
      <w:bookmarkStart w:id="52" w:name="_Toc235108994"/>
      <w:r>
        <w:lastRenderedPageBreak/>
        <w:t>Macroeconomic charts</w:t>
      </w:r>
      <w:bookmarkEnd w:id="52"/>
    </w:p>
    <w:p w14:paraId="650924A4" w14:textId="495C7BC4" w:rsidR="00714883" w:rsidRDefault="00830891" w:rsidP="004B5AFB">
      <w:pPr>
        <w:ind w:left="-993"/>
      </w:pPr>
      <w:r>
        <w:rPr>
          <w:noProof/>
        </w:rPr>
        <w:drawing>
          <wp:inline distT="0" distB="0" distL="0" distR="0" wp14:anchorId="01D56535" wp14:editId="4C15D103">
            <wp:extent cx="6410423" cy="2563792"/>
            <wp:effectExtent l="0" t="0" r="0" b="8255"/>
            <wp:docPr id="645371188" name="Picture 64537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gdp_chart.png"/>
                    <pic:cNvPicPr/>
                  </pic:nvPicPr>
                  <pic:blipFill>
                    <a:blip r:embed="rId45"/>
                    <a:stretch>
                      <a:fillRect/>
                    </a:stretch>
                  </pic:blipFill>
                  <pic:spPr>
                    <a:xfrm>
                      <a:off x="0" y="0"/>
                      <a:ext cx="6429848" cy="2571561"/>
                    </a:xfrm>
                    <a:prstGeom prst="rect">
                      <a:avLst/>
                    </a:prstGeom>
                  </pic:spPr>
                </pic:pic>
              </a:graphicData>
            </a:graphic>
          </wp:inline>
        </w:drawing>
      </w:r>
    </w:p>
    <w:p w14:paraId="2ACF907B" w14:textId="63810093" w:rsidR="00714883" w:rsidRDefault="000B4795" w:rsidP="004B5AFB">
      <w:pPr>
        <w:ind w:left="-993"/>
      </w:pPr>
      <w:r>
        <w:rPr>
          <w:noProof/>
        </w:rPr>
        <w:drawing>
          <wp:inline distT="0" distB="0" distL="0" distR="0" wp14:anchorId="66FFE4E9" wp14:editId="46172FE7">
            <wp:extent cx="6428251" cy="2570922"/>
            <wp:effectExtent l="0" t="0" r="0" b="1270"/>
            <wp:docPr id="1302175236" name="Picture 130217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cpi_chart.png"/>
                    <pic:cNvPicPr/>
                  </pic:nvPicPr>
                  <pic:blipFill>
                    <a:blip r:embed="rId46"/>
                    <a:stretch>
                      <a:fillRect/>
                    </a:stretch>
                  </pic:blipFill>
                  <pic:spPr>
                    <a:xfrm>
                      <a:off x="0" y="0"/>
                      <a:ext cx="6444109" cy="2577264"/>
                    </a:xfrm>
                    <a:prstGeom prst="rect">
                      <a:avLst/>
                    </a:prstGeom>
                  </pic:spPr>
                </pic:pic>
              </a:graphicData>
            </a:graphic>
          </wp:inline>
        </w:drawing>
      </w:r>
    </w:p>
    <w:p w14:paraId="77E67D8C" w14:textId="71C7149A" w:rsidR="00714883" w:rsidRDefault="000E7AC6" w:rsidP="004B5AFB">
      <w:pPr>
        <w:ind w:left="-993"/>
      </w:pPr>
      <w:r>
        <w:rPr>
          <w:noProof/>
        </w:rPr>
        <w:drawing>
          <wp:inline distT="0" distB="0" distL="0" distR="0" wp14:anchorId="18FC2514" wp14:editId="2D94B323">
            <wp:extent cx="6467654" cy="2586681"/>
            <wp:effectExtent l="0" t="0" r="0" b="4445"/>
            <wp:docPr id="1302175237" name="Picture 130217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nz_ocr_chart.png"/>
                    <pic:cNvPicPr/>
                  </pic:nvPicPr>
                  <pic:blipFill>
                    <a:blip r:embed="rId47"/>
                    <a:stretch>
                      <a:fillRect/>
                    </a:stretch>
                  </pic:blipFill>
                  <pic:spPr>
                    <a:xfrm>
                      <a:off x="0" y="0"/>
                      <a:ext cx="6492556" cy="2596640"/>
                    </a:xfrm>
                    <a:prstGeom prst="rect">
                      <a:avLst/>
                    </a:prstGeom>
                  </pic:spPr>
                </pic:pic>
              </a:graphicData>
            </a:graphic>
          </wp:inline>
        </w:drawing>
      </w:r>
    </w:p>
    <w:p w14:paraId="606B4CE8" w14:textId="496BB63E" w:rsidR="00714883" w:rsidRDefault="006F1372" w:rsidP="004B5AFB">
      <w:pPr>
        <w:ind w:left="-993"/>
      </w:pPr>
      <w:r>
        <w:rPr>
          <w:noProof/>
        </w:rPr>
        <w:lastRenderedPageBreak/>
        <w:drawing>
          <wp:inline distT="0" distB="0" distL="0" distR="0" wp14:anchorId="47B09D8B" wp14:editId="5630E5E9">
            <wp:extent cx="6694227" cy="2677297"/>
            <wp:effectExtent l="0" t="0" r="0" b="8890"/>
            <wp:docPr id="1773770538" name="Picture 177377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lms_chart.png"/>
                    <pic:cNvPicPr/>
                  </pic:nvPicPr>
                  <pic:blipFill>
                    <a:blip r:embed="rId48"/>
                    <a:stretch>
                      <a:fillRect/>
                    </a:stretch>
                  </pic:blipFill>
                  <pic:spPr>
                    <a:xfrm>
                      <a:off x="0" y="0"/>
                      <a:ext cx="6711568" cy="2684232"/>
                    </a:xfrm>
                    <a:prstGeom prst="rect">
                      <a:avLst/>
                    </a:prstGeom>
                  </pic:spPr>
                </pic:pic>
              </a:graphicData>
            </a:graphic>
          </wp:inline>
        </w:drawing>
      </w:r>
    </w:p>
    <w:p w14:paraId="0F725399" w14:textId="5140E075" w:rsidR="00714883" w:rsidRDefault="00BB7799" w:rsidP="004B5AFB">
      <w:pPr>
        <w:ind w:left="-993"/>
      </w:pPr>
      <w:r>
        <w:rPr>
          <w:noProof/>
        </w:rPr>
        <w:drawing>
          <wp:inline distT="0" distB="0" distL="0" distR="0" wp14:anchorId="6E69DC10" wp14:editId="5A7A184F">
            <wp:extent cx="6714825" cy="2685535"/>
            <wp:effectExtent l="0" t="0" r="0" b="635"/>
            <wp:docPr id="1177378398" name="Picture 1177378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employment_chart.png"/>
                    <pic:cNvPicPr/>
                  </pic:nvPicPr>
                  <pic:blipFill>
                    <a:blip r:embed="rId49"/>
                    <a:stretch>
                      <a:fillRect/>
                    </a:stretch>
                  </pic:blipFill>
                  <pic:spPr>
                    <a:xfrm>
                      <a:off x="0" y="0"/>
                      <a:ext cx="6734411" cy="2693368"/>
                    </a:xfrm>
                    <a:prstGeom prst="rect">
                      <a:avLst/>
                    </a:prstGeom>
                  </pic:spPr>
                </pic:pic>
              </a:graphicData>
            </a:graphic>
          </wp:inline>
        </w:drawing>
      </w:r>
    </w:p>
    <w:p w14:paraId="2FFDDCF7" w14:textId="4A44E9E5" w:rsidR="00714883" w:rsidRDefault="00B509EB" w:rsidP="004B5AFB">
      <w:pPr>
        <w:ind w:left="-993"/>
      </w:pPr>
      <w:r>
        <w:rPr>
          <w:noProof/>
        </w:rPr>
        <w:drawing>
          <wp:inline distT="0" distB="0" distL="0" distR="0" wp14:anchorId="1CDA7142" wp14:editId="096581B6">
            <wp:extent cx="6704526" cy="2681416"/>
            <wp:effectExtent l="0" t="0" r="1270" b="5080"/>
            <wp:docPr id="1414015370" name="Picture 1414015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snz_migration_chart.png"/>
                    <pic:cNvPicPr/>
                  </pic:nvPicPr>
                  <pic:blipFill>
                    <a:blip r:embed="rId50"/>
                    <a:stretch>
                      <a:fillRect/>
                    </a:stretch>
                  </pic:blipFill>
                  <pic:spPr>
                    <a:xfrm>
                      <a:off x="0" y="0"/>
                      <a:ext cx="6721161" cy="2688069"/>
                    </a:xfrm>
                    <a:prstGeom prst="rect">
                      <a:avLst/>
                    </a:prstGeom>
                  </pic:spPr>
                </pic:pic>
              </a:graphicData>
            </a:graphic>
          </wp:inline>
        </w:drawing>
      </w:r>
    </w:p>
    <w:p w14:paraId="3912B50A" w14:textId="162DD8EB" w:rsidR="00714883" w:rsidRDefault="00714883" w:rsidP="004B5AFB">
      <w:pPr>
        <w:ind w:left="-993"/>
      </w:pPr>
    </w:p>
    <w:p w14:paraId="1DB81B26" w14:textId="3C6B1D83" w:rsidR="00714883" w:rsidRDefault="001970EB" w:rsidP="004B5AFB">
      <w:pPr>
        <w:ind w:left="-993"/>
      </w:pPr>
      <w:r>
        <w:rPr>
          <w:noProof/>
        </w:rPr>
        <w:lastRenderedPageBreak/>
        <w:drawing>
          <wp:inline distT="0" distB="0" distL="0" distR="0" wp14:anchorId="67462C22" wp14:editId="72FD35C5">
            <wp:extent cx="6642735" cy="2656703"/>
            <wp:effectExtent l="0" t="0" r="5715" b="0"/>
            <wp:docPr id="432569889" name="Picture 432569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zbo_activity_chart.png"/>
                    <pic:cNvPicPr/>
                  </pic:nvPicPr>
                  <pic:blipFill>
                    <a:blip r:embed="rId51"/>
                    <a:stretch>
                      <a:fillRect/>
                    </a:stretch>
                  </pic:blipFill>
                  <pic:spPr>
                    <a:xfrm>
                      <a:off x="0" y="0"/>
                      <a:ext cx="6660596" cy="2663846"/>
                    </a:xfrm>
                    <a:prstGeom prst="rect">
                      <a:avLst/>
                    </a:prstGeom>
                  </pic:spPr>
                </pic:pic>
              </a:graphicData>
            </a:graphic>
          </wp:inline>
        </w:drawing>
      </w:r>
      <w:r w:rsidR="00364C23">
        <w:rPr>
          <w:noProof/>
        </w:rPr>
        <w:drawing>
          <wp:inline distT="0" distB="0" distL="0" distR="0" wp14:anchorId="592717DF" wp14:editId="11109171">
            <wp:extent cx="6688599" cy="2675046"/>
            <wp:effectExtent l="0" t="0" r="0" b="0"/>
            <wp:docPr id="1302175243" name="Picture 130217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zbo_credit_chart.png"/>
                    <pic:cNvPicPr/>
                  </pic:nvPicPr>
                  <pic:blipFill>
                    <a:blip r:embed="rId52"/>
                    <a:stretch>
                      <a:fillRect/>
                    </a:stretch>
                  </pic:blipFill>
                  <pic:spPr>
                    <a:xfrm>
                      <a:off x="0" y="0"/>
                      <a:ext cx="6711669" cy="2684272"/>
                    </a:xfrm>
                    <a:prstGeom prst="rect">
                      <a:avLst/>
                    </a:prstGeom>
                  </pic:spPr>
                </pic:pic>
              </a:graphicData>
            </a:graphic>
          </wp:inline>
        </w:drawing>
      </w:r>
    </w:p>
    <w:p w14:paraId="3AF64477" w14:textId="41F5E034" w:rsidR="00714883" w:rsidRDefault="00714883" w:rsidP="004B5AFB">
      <w:pPr>
        <w:ind w:left="-993"/>
      </w:pPr>
    </w:p>
    <w:bookmarkEnd w:id="21"/>
    <w:p w14:paraId="735A0E5C" w14:textId="7457F657" w:rsidR="00D009D8" w:rsidRPr="006B77BB" w:rsidRDefault="008B60D7" w:rsidP="004B5AFB">
      <w:pPr>
        <w:ind w:left="-993"/>
      </w:pPr>
      <w:r>
        <w:rPr>
          <w:noProof/>
        </w:rPr>
        <w:drawing>
          <wp:inline distT="0" distB="0" distL="0" distR="0" wp14:anchorId="74E32A5E" wp14:editId="49E24F05">
            <wp:extent cx="6745402" cy="2697764"/>
            <wp:effectExtent l="0" t="0" r="0" b="7620"/>
            <wp:docPr id="1302175244" name="Picture 130217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d_benefits_chart.png"/>
                    <pic:cNvPicPr/>
                  </pic:nvPicPr>
                  <pic:blipFill>
                    <a:blip r:embed="rId53"/>
                    <a:stretch>
                      <a:fillRect/>
                    </a:stretch>
                  </pic:blipFill>
                  <pic:spPr>
                    <a:xfrm>
                      <a:off x="0" y="0"/>
                      <a:ext cx="6766625" cy="2706252"/>
                    </a:xfrm>
                    <a:prstGeom prst="rect">
                      <a:avLst/>
                    </a:prstGeom>
                  </pic:spPr>
                </pic:pic>
              </a:graphicData>
            </a:graphic>
          </wp:inline>
        </w:drawing>
      </w:r>
    </w:p>
    <w:sectPr w:rsidR="00D009D8" w:rsidRPr="006B77BB" w:rsidSect="004B5AFB">
      <w:footerReference w:type="even" r:id="rId54"/>
      <w:pgSz w:w="11907" w:h="16840" w:code="9"/>
      <w:pgMar w:top="1134" w:right="708"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CFD0" w14:textId="77777777" w:rsidR="003655DE" w:rsidRDefault="003655DE" w:rsidP="0080531E">
      <w:pPr>
        <w:spacing w:before="0" w:after="0" w:line="240" w:lineRule="auto"/>
      </w:pPr>
      <w:r>
        <w:separator/>
      </w:r>
    </w:p>
    <w:p w14:paraId="5F4D2FC8" w14:textId="77777777" w:rsidR="003655DE" w:rsidRDefault="003655DE"/>
  </w:endnote>
  <w:endnote w:type="continuationSeparator" w:id="0">
    <w:p w14:paraId="3A514F52" w14:textId="77777777" w:rsidR="003655DE" w:rsidRDefault="003655DE" w:rsidP="0080531E">
      <w:pPr>
        <w:spacing w:before="0" w:after="0" w:line="240" w:lineRule="auto"/>
      </w:pPr>
      <w:r>
        <w:continuationSeparator/>
      </w:r>
    </w:p>
    <w:p w14:paraId="5C5CC64B" w14:textId="77777777" w:rsidR="003655DE" w:rsidRDefault="003655DE"/>
  </w:endnote>
  <w:endnote w:type="continuationNotice" w:id="1">
    <w:p w14:paraId="4456C21F" w14:textId="77777777" w:rsidR="003655DE" w:rsidRDefault="003655D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C2F66" w14:textId="6B40DA16" w:rsidR="00AB4142" w:rsidRDefault="002D63D1">
    <w:pPr>
      <w:pStyle w:val="Footer"/>
    </w:pPr>
    <w:r>
      <w:rPr>
        <w:noProof/>
      </w:rPr>
      <mc:AlternateContent>
        <mc:Choice Requires="wps">
          <w:drawing>
            <wp:anchor distT="0" distB="0" distL="0" distR="0" simplePos="0" relativeHeight="251658242" behindDoc="0" locked="0" layoutInCell="1" allowOverlap="1" wp14:anchorId="043788DC" wp14:editId="11F8D6E2">
              <wp:simplePos x="635" y="635"/>
              <wp:positionH relativeFrom="page">
                <wp:align>center</wp:align>
              </wp:positionH>
              <wp:positionV relativeFrom="page">
                <wp:align>bottom</wp:align>
              </wp:positionV>
              <wp:extent cx="1002665" cy="444500"/>
              <wp:effectExtent l="0" t="0" r="6985" b="0"/>
              <wp:wrapNone/>
              <wp:docPr id="1385262911" name="Text Box 10"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09957C0A" w14:textId="46C44926"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3788DC" id="_x0000_t202" coordsize="21600,21600" o:spt="202" path="m,l,21600r21600,l21600,xe">
              <v:stroke joinstyle="miter"/>
              <v:path gradientshapeok="t" o:connecttype="rect"/>
            </v:shapetype>
            <v:shape id="Text Box 10" o:spid="_x0000_s1028" type="#_x0000_t202" alt="[UNCLASSIFIED]" style="position:absolute;left:0;text-align:left;margin-left:0;margin-top:0;width:78.95pt;height:3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NqDAIAAB0EAAAOAAAAZHJzL2Uyb0RvYy54bWysU99v2jAQfp+0/8Hy+0hAFG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" filled="f" stroked="f">
              <v:textbox style="mso-fit-shape-to-text:t" inset="0,0,0,15pt">
                <w:txbxContent>
                  <w:p w14:paraId="09957C0A" w14:textId="46C44926"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FE06E" w14:textId="075EA08D" w:rsidR="00E5210B" w:rsidRDefault="00E5210B" w:rsidP="009F1D7F">
    <w:pPr>
      <w:spacing w:before="0" w:after="0" w:line="240"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4132" w14:textId="77777777" w:rsidR="002D63D1" w:rsidRDefault="002D63D1">
    <w:pPr>
      <w:pStyle w:val="Footer"/>
      <w:rPr>
        <w:noProof/>
      </w:rPr>
    </w:pPr>
  </w:p>
  <w:p w14:paraId="639D8A22" w14:textId="02961D43" w:rsidR="00AB4142" w:rsidRDefault="002D63D1">
    <w:pPr>
      <w:pStyle w:val="Footer"/>
    </w:pPr>
    <w:r>
      <w:rPr>
        <w:noProof/>
      </w:rPr>
      <mc:AlternateContent>
        <mc:Choice Requires="wps">
          <w:drawing>
            <wp:anchor distT="0" distB="0" distL="0" distR="0" simplePos="0" relativeHeight="251658241" behindDoc="0" locked="0" layoutInCell="1" allowOverlap="1" wp14:anchorId="4748BA24" wp14:editId="5AB46E39">
              <wp:simplePos x="635" y="635"/>
              <wp:positionH relativeFrom="page">
                <wp:align>center</wp:align>
              </wp:positionH>
              <wp:positionV relativeFrom="page">
                <wp:align>bottom</wp:align>
              </wp:positionV>
              <wp:extent cx="1002665" cy="444500"/>
              <wp:effectExtent l="0" t="0" r="6985" b="0"/>
              <wp:wrapNone/>
              <wp:docPr id="1948234267" name="Text Box 9"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1767A26A" w14:textId="7DCE7740"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48BA24" id="_x0000_t202" coordsize="21600,21600" o:spt="202" path="m,l,21600r21600,l21600,xe">
              <v:stroke joinstyle="miter"/>
              <v:path gradientshapeok="t" o:connecttype="rect"/>
            </v:shapetype>
            <v:shape id="Text Box 9" o:spid="_x0000_s1030" type="#_x0000_t202" alt="[UNCLASSIFIED]" style="position:absolute;left:0;text-align:left;margin-left:0;margin-top:0;width:78.95pt;height:3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" filled="f" stroked="f">
              <v:textbox style="mso-fit-shape-to-text:t" inset="0,0,0,15pt">
                <w:txbxContent>
                  <w:p w14:paraId="1767A26A" w14:textId="7DCE7740"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6BF1" w14:textId="3D26A940" w:rsidR="00E5210B" w:rsidRDefault="002D63D1" w:rsidP="00E65427">
    <w:pPr>
      <w:spacing w:before="240" w:after="0" w:line="240" w:lineRule="auto"/>
    </w:pPr>
    <w:r>
      <w:rPr>
        <w:noProof/>
      </w:rPr>
      <mc:AlternateContent>
        <mc:Choice Requires="wps">
          <w:drawing>
            <wp:anchor distT="0" distB="0" distL="0" distR="0" simplePos="0" relativeHeight="251658243" behindDoc="0" locked="0" layoutInCell="1" allowOverlap="1" wp14:anchorId="5770E06B" wp14:editId="5587FB89">
              <wp:simplePos x="635" y="635"/>
              <wp:positionH relativeFrom="page">
                <wp:align>center</wp:align>
              </wp:positionH>
              <wp:positionV relativeFrom="page">
                <wp:align>bottom</wp:align>
              </wp:positionV>
              <wp:extent cx="1002665" cy="444500"/>
              <wp:effectExtent l="0" t="0" r="6985" b="0"/>
              <wp:wrapNone/>
              <wp:docPr id="135181558" name="Text Box 1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57D6EC4F" w14:textId="6B347D3F"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70E06B" id="_x0000_t202" coordsize="21600,21600" o:spt="202" path="m,l,21600r21600,l21600,xe">
              <v:stroke joinstyle="miter"/>
              <v:path gradientshapeok="t" o:connecttype="rect"/>
            </v:shapetype>
            <v:shape id="Text Box 12" o:spid="_x0000_s1032" type="#_x0000_t202" alt="[UNCLASSIFIED]" style="position:absolute;left:0;text-align:left;margin-left:0;margin-top:0;width:78.95pt;height:3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" filled="f" stroked="f">
              <v:textbox style="mso-fit-shape-to-text:t" inset="0,0,0,15pt">
                <w:txbxContent>
                  <w:p w14:paraId="57D6EC4F" w14:textId="6B347D3F"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A0E79" w14:textId="4E0402E0" w:rsidR="00E5210B" w:rsidRPr="00F00471" w:rsidRDefault="005514AF" w:rsidP="002F45FE">
    <w:pPr>
      <w:pStyle w:val="Footer"/>
      <w:jc w:val="right"/>
      <w:rPr>
        <w:sz w:val="20"/>
        <w:szCs w:val="20"/>
      </w:rPr>
    </w:pPr>
    <w:sdt>
      <w:sdtPr>
        <w:rPr>
          <w:sz w:val="20"/>
          <w:szCs w:val="20"/>
        </w:rPr>
        <w:id w:val="-573054458"/>
        <w:docPartObj>
          <w:docPartGallery w:val="Page Numbers (Bottom of Page)"/>
          <w:docPartUnique/>
        </w:docPartObj>
      </w:sdtPr>
      <w:sdtContent>
        <w:r w:rsidR="002F45FE" w:rsidRPr="00F00471">
          <w:rPr>
            <w:sz w:val="20"/>
            <w:szCs w:val="20"/>
          </w:rPr>
          <w:t>Housing Market Update June</w:t>
        </w:r>
        <w:r w:rsidR="00534530">
          <w:rPr>
            <w:sz w:val="20"/>
            <w:szCs w:val="20"/>
          </w:rPr>
          <w:t xml:space="preserve"> Qua</w:t>
        </w:r>
        <w:r w:rsidR="0021501A">
          <w:rPr>
            <w:sz w:val="20"/>
            <w:szCs w:val="20"/>
          </w:rPr>
          <w:t>rter</w:t>
        </w:r>
        <w:r w:rsidR="002F45FE" w:rsidRPr="00F00471">
          <w:rPr>
            <w:sz w:val="20"/>
            <w:szCs w:val="20"/>
          </w:rPr>
          <w:t xml:space="preserve"> 2026      </w:t>
        </w:r>
        <w:r w:rsidR="00F00471">
          <w:rPr>
            <w:sz w:val="20"/>
            <w:szCs w:val="20"/>
          </w:rPr>
          <w:t xml:space="preserve">         </w:t>
        </w:r>
        <w:r w:rsidR="002F45FE" w:rsidRPr="00F00471">
          <w:rPr>
            <w:sz w:val="20"/>
            <w:szCs w:val="20"/>
          </w:rPr>
          <w:t xml:space="preserve">                                                          </w:t>
        </w:r>
        <w:r w:rsidR="002F45FE" w:rsidRPr="00F00471">
          <w:rPr>
            <w:sz w:val="20"/>
            <w:szCs w:val="20"/>
          </w:rPr>
          <w:fldChar w:fldCharType="begin"/>
        </w:r>
        <w:r w:rsidR="002F45FE" w:rsidRPr="00F00471">
          <w:rPr>
            <w:sz w:val="20"/>
            <w:szCs w:val="20"/>
          </w:rPr>
          <w:instrText>PAGE   \* MERGEFORMAT</w:instrText>
        </w:r>
        <w:r w:rsidR="002F45FE" w:rsidRPr="00F00471">
          <w:rPr>
            <w:sz w:val="20"/>
            <w:szCs w:val="20"/>
          </w:rPr>
          <w:fldChar w:fldCharType="separate"/>
        </w:r>
        <w:r w:rsidR="002F45FE" w:rsidRPr="00F00471">
          <w:rPr>
            <w:sz w:val="20"/>
            <w:szCs w:val="20"/>
            <w:lang w:val="en-GB"/>
          </w:rPr>
          <w:t>2</w:t>
        </w:r>
        <w:r w:rsidR="002F45FE" w:rsidRPr="00F00471">
          <w:rPr>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8355" w14:textId="027EE469" w:rsidR="00E453AB" w:rsidRDefault="002D63D1" w:rsidP="00CD25E1">
    <w:pPr>
      <w:pStyle w:val="Footereven"/>
    </w:pPr>
    <w:r>
      <w:rPr>
        <w:b/>
        <w:noProof/>
      </w:rPr>
      <mc:AlternateContent>
        <mc:Choice Requires="wps">
          <w:drawing>
            <wp:anchor distT="0" distB="0" distL="0" distR="0" simplePos="0" relativeHeight="251658244" behindDoc="0" locked="0" layoutInCell="1" allowOverlap="1" wp14:anchorId="569BCCD4" wp14:editId="31C3085D">
              <wp:simplePos x="635" y="635"/>
              <wp:positionH relativeFrom="page">
                <wp:align>center</wp:align>
              </wp:positionH>
              <wp:positionV relativeFrom="page">
                <wp:align>bottom</wp:align>
              </wp:positionV>
              <wp:extent cx="1002665" cy="444500"/>
              <wp:effectExtent l="0" t="0" r="6985" b="0"/>
              <wp:wrapNone/>
              <wp:docPr id="427084019" name="Text Box 1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52438B64" w14:textId="044754A6"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9BCCD4" id="_x0000_t202" coordsize="21600,21600" o:spt="202" path="m,l,21600r21600,l21600,xe">
              <v:stroke joinstyle="miter"/>
              <v:path gradientshapeok="t" o:connecttype="rect"/>
            </v:shapetype>
            <v:shape id="Text Box 14" o:spid="_x0000_s1033" type="#_x0000_t202" alt="[UNCLASSIFIED]" style="position:absolute;left:0;text-align:left;margin-left:0;margin-top:0;width:78.95pt;height:3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" filled="f" stroked="f">
              <v:textbox style="mso-fit-shape-to-text:t" inset="0,0,0,15pt">
                <w:txbxContent>
                  <w:p w14:paraId="52438B64" w14:textId="044754A6"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v:textbox>
              <w10:wrap anchorx="page" anchory="page"/>
            </v:shape>
          </w:pict>
        </mc:Fallback>
      </mc:AlternateContent>
    </w:r>
    <w:r w:rsidR="00E5210B" w:rsidRPr="004F458A">
      <w:rPr>
        <w:b/>
      </w:rPr>
      <w:fldChar w:fldCharType="begin"/>
    </w:r>
    <w:r w:rsidR="00E5210B" w:rsidRPr="004F458A">
      <w:instrText xml:space="preserve"> PAGE </w:instrText>
    </w:r>
    <w:r w:rsidR="00E5210B" w:rsidRPr="004F458A">
      <w:rPr>
        <w:b/>
      </w:rPr>
      <w:fldChar w:fldCharType="separate"/>
    </w:r>
    <w:r w:rsidR="005D3242">
      <w:rPr>
        <w:noProof/>
      </w:rPr>
      <w:t>8</w:t>
    </w:r>
    <w:r w:rsidR="00E5210B" w:rsidRPr="004F458A">
      <w:rPr>
        <w:b/>
      </w:rPr>
      <w:fldChar w:fldCharType="end"/>
    </w:r>
    <w:r w:rsidR="00E5210B">
      <w:tab/>
    </w:r>
    <w:r w:rsidR="00C76906">
      <w:t xml:space="preserve">Insert </w:t>
    </w:r>
    <w:r w:rsidR="0009132D">
      <w:t>title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824DF" w14:textId="77777777" w:rsidR="003655DE" w:rsidRDefault="003655DE" w:rsidP="00CB5C5F">
      <w:pPr>
        <w:spacing w:before="0" w:after="80" w:line="240" w:lineRule="auto"/>
      </w:pPr>
      <w:r>
        <w:separator/>
      </w:r>
    </w:p>
  </w:footnote>
  <w:footnote w:type="continuationSeparator" w:id="0">
    <w:p w14:paraId="1C6186A5" w14:textId="77777777" w:rsidR="003655DE" w:rsidRDefault="003655DE" w:rsidP="0080531E">
      <w:pPr>
        <w:spacing w:before="0" w:after="0" w:line="240" w:lineRule="auto"/>
      </w:pPr>
      <w:r>
        <w:continuationSeparator/>
      </w:r>
    </w:p>
    <w:p w14:paraId="647736C4" w14:textId="77777777" w:rsidR="003655DE" w:rsidRDefault="003655DE"/>
  </w:footnote>
  <w:footnote w:type="continuationNotice" w:id="1">
    <w:p w14:paraId="6CD10CFA" w14:textId="77777777" w:rsidR="003655DE" w:rsidRDefault="003655DE">
      <w:pPr>
        <w:spacing w:before="0" w:after="0" w:line="240" w:lineRule="auto"/>
      </w:pPr>
    </w:p>
  </w:footnote>
  <w:footnote w:id="2">
    <w:p w14:paraId="60A91F8A" w14:textId="77777777" w:rsidR="00A40EB0" w:rsidRPr="00614C43" w:rsidRDefault="00A40EB0" w:rsidP="00A40EB0">
      <w:pPr>
        <w:pStyle w:val="Source"/>
        <w:snapToGrid w:val="0"/>
        <w:contextualSpacing/>
        <w:rPr>
          <w:sz w:val="18"/>
          <w:szCs w:val="18"/>
        </w:rPr>
      </w:pPr>
      <w:r w:rsidRPr="00614C43">
        <w:rPr>
          <w:rStyle w:val="FootnoteReference"/>
          <w:sz w:val="18"/>
          <w:szCs w:val="18"/>
        </w:rPr>
        <w:footnoteRef/>
      </w:r>
      <w:r w:rsidRPr="00614C43">
        <w:rPr>
          <w:sz w:val="18"/>
          <w:szCs w:val="18"/>
        </w:rPr>
        <w:t xml:space="preserve"> Stats NZ, March 2026, </w:t>
      </w:r>
      <w:hyperlink r:id="rId1" w:history="1">
        <w:r w:rsidRPr="00614C43">
          <w:rPr>
            <w:rStyle w:val="Hyperlink"/>
            <w:sz w:val="18"/>
            <w:szCs w:val="18"/>
          </w:rPr>
          <w:t>Gross domestic product</w:t>
        </w:r>
      </w:hyperlink>
      <w:r w:rsidRPr="00614C43">
        <w:rPr>
          <w:sz w:val="18"/>
          <w:szCs w:val="18"/>
        </w:rPr>
        <w:t>.</w:t>
      </w:r>
    </w:p>
  </w:footnote>
  <w:footnote w:id="3">
    <w:p w14:paraId="22F5ECCB" w14:textId="3C57202B" w:rsidR="00DE15CA" w:rsidRPr="00614C43" w:rsidRDefault="00DE15CA" w:rsidP="002F45FE">
      <w:pPr>
        <w:pStyle w:val="Source"/>
        <w:snapToGrid w:val="0"/>
        <w:contextualSpacing/>
        <w:rPr>
          <w:sz w:val="18"/>
          <w:szCs w:val="18"/>
        </w:rPr>
      </w:pPr>
      <w:r w:rsidRPr="00614C43">
        <w:rPr>
          <w:rStyle w:val="FootnoteReference"/>
          <w:sz w:val="18"/>
          <w:szCs w:val="18"/>
        </w:rPr>
        <w:footnoteRef/>
      </w:r>
      <w:r w:rsidRPr="00614C43">
        <w:rPr>
          <w:sz w:val="18"/>
          <w:szCs w:val="18"/>
        </w:rPr>
        <w:t xml:space="preserve"> </w:t>
      </w:r>
      <w:r w:rsidR="00EE057A" w:rsidRPr="00614C43">
        <w:rPr>
          <w:sz w:val="18"/>
          <w:szCs w:val="18"/>
        </w:rPr>
        <w:t>Stats NZ, March 2026,</w:t>
      </w:r>
      <w:r w:rsidRPr="00614C43">
        <w:rPr>
          <w:sz w:val="18"/>
          <w:szCs w:val="18"/>
        </w:rPr>
        <w:t xml:space="preserve"> </w:t>
      </w:r>
      <w:hyperlink r:id="rId2" w:history="1">
        <w:r w:rsidR="00F72A2D" w:rsidRPr="00614C43">
          <w:rPr>
            <w:rStyle w:val="Hyperlink"/>
            <w:sz w:val="18"/>
            <w:szCs w:val="18"/>
          </w:rPr>
          <w:t>Labour market statistics</w:t>
        </w:r>
      </w:hyperlink>
      <w:r w:rsidR="001442A9" w:rsidRPr="00614C43">
        <w:rPr>
          <w:sz w:val="18"/>
          <w:szCs w:val="18"/>
        </w:rPr>
        <w:t>.</w:t>
      </w:r>
    </w:p>
  </w:footnote>
  <w:footnote w:id="4">
    <w:p w14:paraId="75C8C623" w14:textId="6B40DE19" w:rsidR="002207B4" w:rsidRPr="00614C43" w:rsidRDefault="002207B4" w:rsidP="002F45FE">
      <w:pPr>
        <w:pStyle w:val="Source"/>
        <w:snapToGrid w:val="0"/>
        <w:contextualSpacing/>
        <w:rPr>
          <w:sz w:val="18"/>
          <w:szCs w:val="18"/>
        </w:rPr>
      </w:pPr>
      <w:r w:rsidRPr="00614C43">
        <w:rPr>
          <w:rStyle w:val="FootnoteReference"/>
          <w:sz w:val="18"/>
          <w:szCs w:val="18"/>
        </w:rPr>
        <w:footnoteRef/>
      </w:r>
      <w:r w:rsidRPr="00614C43">
        <w:rPr>
          <w:sz w:val="18"/>
          <w:szCs w:val="18"/>
        </w:rPr>
        <w:t xml:space="preserve"> </w:t>
      </w:r>
      <w:r w:rsidR="00EE057A" w:rsidRPr="00614C43">
        <w:rPr>
          <w:sz w:val="18"/>
          <w:szCs w:val="18"/>
        </w:rPr>
        <w:t>Stats NZ, May 2026,</w:t>
      </w:r>
      <w:r w:rsidRPr="00614C43">
        <w:rPr>
          <w:sz w:val="18"/>
          <w:szCs w:val="18"/>
        </w:rPr>
        <w:t xml:space="preserve"> </w:t>
      </w:r>
      <w:hyperlink r:id="rId3" w:history="1">
        <w:r w:rsidR="00EB7335" w:rsidRPr="00614C43">
          <w:rPr>
            <w:rStyle w:val="Hyperlink"/>
            <w:sz w:val="18"/>
            <w:szCs w:val="18"/>
          </w:rPr>
          <w:t>International migration.</w:t>
        </w:r>
      </w:hyperlink>
    </w:p>
  </w:footnote>
  <w:footnote w:id="5">
    <w:p w14:paraId="26F4454E" w14:textId="6DE6BC3F" w:rsidR="00516CA4" w:rsidRPr="00614C43" w:rsidRDefault="00516CA4" w:rsidP="002F45FE">
      <w:pPr>
        <w:pStyle w:val="Source"/>
        <w:snapToGrid w:val="0"/>
        <w:contextualSpacing/>
        <w:rPr>
          <w:sz w:val="18"/>
          <w:szCs w:val="18"/>
        </w:rPr>
      </w:pPr>
      <w:r w:rsidRPr="00614C43">
        <w:rPr>
          <w:rStyle w:val="FootnoteReference"/>
          <w:sz w:val="18"/>
          <w:szCs w:val="18"/>
        </w:rPr>
        <w:footnoteRef/>
      </w:r>
      <w:r w:rsidR="00EE057A" w:rsidRPr="00614C43">
        <w:rPr>
          <w:sz w:val="18"/>
          <w:szCs w:val="18"/>
        </w:rPr>
        <w:t xml:space="preserve"> Stats NZ,</w:t>
      </w:r>
      <w:r w:rsidR="00BF6162" w:rsidRPr="00614C43">
        <w:rPr>
          <w:sz w:val="18"/>
          <w:szCs w:val="18"/>
        </w:rPr>
        <w:t xml:space="preserve"> </w:t>
      </w:r>
      <w:r w:rsidR="00B51224" w:rsidRPr="00614C43">
        <w:rPr>
          <w:sz w:val="18"/>
          <w:szCs w:val="18"/>
        </w:rPr>
        <w:t>June</w:t>
      </w:r>
      <w:r w:rsidR="00BF6162" w:rsidRPr="00614C43">
        <w:rPr>
          <w:sz w:val="18"/>
          <w:szCs w:val="18"/>
        </w:rPr>
        <w:t xml:space="preserve"> 2026</w:t>
      </w:r>
      <w:r w:rsidR="00EE057A" w:rsidRPr="00614C43">
        <w:rPr>
          <w:sz w:val="18"/>
          <w:szCs w:val="18"/>
        </w:rPr>
        <w:t>,</w:t>
      </w:r>
      <w:r w:rsidRPr="00614C43">
        <w:rPr>
          <w:sz w:val="18"/>
          <w:szCs w:val="18"/>
        </w:rPr>
        <w:t xml:space="preserve"> </w:t>
      </w:r>
      <w:hyperlink r:id="rId4" w:history="1">
        <w:r w:rsidRPr="00614C43">
          <w:rPr>
            <w:rStyle w:val="Hyperlink"/>
            <w:sz w:val="18"/>
            <w:szCs w:val="18"/>
          </w:rPr>
          <w:t>Consumers price index (CPI)</w:t>
        </w:r>
        <w:r w:rsidR="001442A9" w:rsidRPr="00614C43">
          <w:rPr>
            <w:rStyle w:val="Hyperlink"/>
            <w:sz w:val="18"/>
            <w:szCs w:val="18"/>
          </w:rPr>
          <w:t>.</w:t>
        </w:r>
      </w:hyperlink>
      <w:r w:rsidRPr="00614C43">
        <w:rPr>
          <w:sz w:val="18"/>
          <w:szCs w:val="18"/>
        </w:rPr>
        <w:t xml:space="preserve"> </w:t>
      </w:r>
    </w:p>
  </w:footnote>
  <w:footnote w:id="6">
    <w:p w14:paraId="7E0C4E25" w14:textId="12CF518C" w:rsidR="003040C4" w:rsidRPr="00614C43" w:rsidRDefault="003040C4" w:rsidP="002F45FE">
      <w:pPr>
        <w:pStyle w:val="Source"/>
        <w:snapToGrid w:val="0"/>
        <w:contextualSpacing/>
        <w:rPr>
          <w:sz w:val="18"/>
          <w:szCs w:val="18"/>
        </w:rPr>
      </w:pPr>
      <w:r w:rsidRPr="00614C43">
        <w:rPr>
          <w:rStyle w:val="FootnoteReference"/>
          <w:sz w:val="18"/>
          <w:szCs w:val="18"/>
        </w:rPr>
        <w:footnoteRef/>
      </w:r>
      <w:r w:rsidRPr="00614C43">
        <w:rPr>
          <w:sz w:val="18"/>
          <w:szCs w:val="18"/>
        </w:rPr>
        <w:t xml:space="preserve"> </w:t>
      </w:r>
      <w:r w:rsidR="009643CE" w:rsidRPr="00614C43">
        <w:rPr>
          <w:sz w:val="18"/>
          <w:szCs w:val="18"/>
        </w:rPr>
        <w:t>RBN</w:t>
      </w:r>
      <w:r w:rsidR="00186482" w:rsidRPr="00614C43">
        <w:rPr>
          <w:sz w:val="18"/>
          <w:szCs w:val="18"/>
        </w:rPr>
        <w:t xml:space="preserve">Z, July 2026, </w:t>
      </w:r>
      <w:hyperlink r:id="rId5" w:history="1">
        <w:r w:rsidR="00186482" w:rsidRPr="00614C43">
          <w:rPr>
            <w:rStyle w:val="Hyperlink"/>
            <w:sz w:val="18"/>
            <w:szCs w:val="18"/>
          </w:rPr>
          <w:t>OCR increased to 2.50% to return inflation to 2%</w:t>
        </w:r>
      </w:hyperlink>
      <w:r w:rsidR="00186482" w:rsidRPr="00614C43">
        <w:rPr>
          <w:sz w:val="18"/>
          <w:szCs w:val="18"/>
        </w:rPr>
        <w:t>.</w:t>
      </w:r>
    </w:p>
  </w:footnote>
  <w:footnote w:id="7">
    <w:p w14:paraId="1B6B2410" w14:textId="1C8D56E2" w:rsidR="00C418DA" w:rsidRPr="00614C43" w:rsidRDefault="00C418DA" w:rsidP="002F45FE">
      <w:pPr>
        <w:pStyle w:val="Source"/>
        <w:snapToGrid w:val="0"/>
        <w:contextualSpacing/>
        <w:rPr>
          <w:sz w:val="18"/>
          <w:szCs w:val="18"/>
        </w:rPr>
      </w:pPr>
      <w:r w:rsidRPr="00614C43">
        <w:rPr>
          <w:rStyle w:val="FootnoteReference"/>
          <w:sz w:val="18"/>
          <w:szCs w:val="18"/>
        </w:rPr>
        <w:footnoteRef/>
      </w:r>
      <w:r w:rsidRPr="00614C43">
        <w:rPr>
          <w:sz w:val="18"/>
          <w:szCs w:val="18"/>
        </w:rPr>
        <w:t xml:space="preserve"> </w:t>
      </w:r>
      <w:r w:rsidR="00DB1FA6" w:rsidRPr="00614C43">
        <w:rPr>
          <w:sz w:val="18"/>
          <w:szCs w:val="18"/>
        </w:rPr>
        <w:t xml:space="preserve">ANZ, June 2026, </w:t>
      </w:r>
      <w:hyperlink r:id="rId6" w:history="1">
        <w:r w:rsidRPr="00614C43">
          <w:rPr>
            <w:rStyle w:val="Hyperlink"/>
            <w:sz w:val="18"/>
            <w:szCs w:val="18"/>
          </w:rPr>
          <w:t xml:space="preserve">Business </w:t>
        </w:r>
        <w:r w:rsidR="00DB1FA6" w:rsidRPr="00614C43">
          <w:rPr>
            <w:rStyle w:val="Hyperlink"/>
            <w:sz w:val="18"/>
            <w:szCs w:val="18"/>
          </w:rPr>
          <w:t>outlook s</w:t>
        </w:r>
        <w:r w:rsidRPr="00614C43">
          <w:rPr>
            <w:rStyle w:val="Hyperlink"/>
            <w:sz w:val="18"/>
            <w:szCs w:val="18"/>
          </w:rPr>
          <w:t>urvey</w:t>
        </w:r>
      </w:hyperlink>
      <w:r w:rsidR="001442A9" w:rsidRPr="00614C43">
        <w:rPr>
          <w:sz w:val="18"/>
          <w:szCs w:val="18"/>
        </w:rPr>
        <w:t>.</w:t>
      </w:r>
    </w:p>
  </w:footnote>
  <w:footnote w:id="8">
    <w:p w14:paraId="6760ED7D" w14:textId="754AED19" w:rsidR="002B2603" w:rsidRDefault="002B2603" w:rsidP="002F45FE">
      <w:pPr>
        <w:pStyle w:val="Source"/>
        <w:snapToGrid w:val="0"/>
        <w:contextualSpacing/>
      </w:pPr>
      <w:r w:rsidRPr="00614C43">
        <w:rPr>
          <w:rStyle w:val="FootnoteReference"/>
          <w:sz w:val="18"/>
          <w:szCs w:val="18"/>
        </w:rPr>
        <w:footnoteRef/>
      </w:r>
      <w:r w:rsidRPr="00614C43">
        <w:rPr>
          <w:sz w:val="18"/>
          <w:szCs w:val="18"/>
        </w:rPr>
        <w:t xml:space="preserve"> </w:t>
      </w:r>
      <w:r w:rsidR="00DB1FA6" w:rsidRPr="00614C43">
        <w:rPr>
          <w:sz w:val="18"/>
          <w:szCs w:val="18"/>
        </w:rPr>
        <w:t>Stats NZ,</w:t>
      </w:r>
      <w:r w:rsidR="00174572" w:rsidRPr="00614C43">
        <w:rPr>
          <w:sz w:val="18"/>
          <w:szCs w:val="18"/>
        </w:rPr>
        <w:t xml:space="preserve"> June 2026</w:t>
      </w:r>
      <w:r w:rsidR="00DB1FA6" w:rsidRPr="00614C43">
        <w:rPr>
          <w:sz w:val="18"/>
          <w:szCs w:val="18"/>
        </w:rPr>
        <w:t>,</w:t>
      </w:r>
      <w:r w:rsidRPr="00614C43">
        <w:rPr>
          <w:sz w:val="18"/>
          <w:szCs w:val="18"/>
        </w:rPr>
        <w:t xml:space="preserve"> </w:t>
      </w:r>
      <w:hyperlink r:id="rId7" w:history="1">
        <w:r w:rsidR="001442A9" w:rsidRPr="00614C43">
          <w:rPr>
            <w:rStyle w:val="Hyperlink"/>
            <w:sz w:val="18"/>
            <w:szCs w:val="18"/>
          </w:rPr>
          <w:t>Economic impacts on New Zealand from conflict in the Middle East</w:t>
        </w:r>
      </w:hyperlink>
      <w:r w:rsidR="001442A9" w:rsidRPr="00614C43">
        <w:rPr>
          <w:sz w:val="18"/>
          <w:szCs w:val="18"/>
        </w:rPr>
        <w:t>.</w:t>
      </w:r>
    </w:p>
  </w:footnote>
  <w:footnote w:id="9">
    <w:p w14:paraId="32D03925" w14:textId="5D4C66F2" w:rsidR="00DB2565" w:rsidRPr="00865F8D" w:rsidRDefault="00DB2565" w:rsidP="00F70C73">
      <w:pPr>
        <w:pStyle w:val="FootnoteText"/>
        <w:spacing w:after="0"/>
        <w:contextualSpacing/>
        <w:rPr>
          <w:sz w:val="16"/>
          <w:szCs w:val="16"/>
        </w:rPr>
      </w:pPr>
      <w:r w:rsidRPr="00865F8D">
        <w:rPr>
          <w:rStyle w:val="FootnoteReference"/>
          <w:sz w:val="16"/>
          <w:szCs w:val="16"/>
        </w:rPr>
        <w:footnoteRef/>
      </w:r>
      <w:r w:rsidRPr="00865F8D">
        <w:rPr>
          <w:sz w:val="16"/>
          <w:szCs w:val="16"/>
        </w:rPr>
        <w:t xml:space="preserve"> Stats NZ, </w:t>
      </w:r>
      <w:r w:rsidR="001D0A11" w:rsidRPr="00865F8D">
        <w:rPr>
          <w:sz w:val="16"/>
          <w:szCs w:val="16"/>
        </w:rPr>
        <w:t xml:space="preserve">June </w:t>
      </w:r>
      <w:r w:rsidRPr="00865F8D">
        <w:rPr>
          <w:sz w:val="16"/>
          <w:szCs w:val="16"/>
        </w:rPr>
        <w:t xml:space="preserve">2026, </w:t>
      </w:r>
      <w:hyperlink r:id="rId8" w:history="1">
        <w:r w:rsidR="001D0A11" w:rsidRPr="00865F8D">
          <w:rPr>
            <w:rStyle w:val="Hyperlink"/>
            <w:sz w:val="16"/>
            <w:szCs w:val="16"/>
          </w:rPr>
          <w:t>Selected price indexes</w:t>
        </w:r>
      </w:hyperlink>
    </w:p>
  </w:footnote>
  <w:footnote w:id="10">
    <w:p w14:paraId="33BD50E1" w14:textId="7746EBEB" w:rsidR="00912706" w:rsidRDefault="00912706" w:rsidP="00F70C73">
      <w:pPr>
        <w:pStyle w:val="FootnoteText"/>
        <w:spacing w:after="0"/>
        <w:contextualSpacing/>
      </w:pPr>
      <w:r w:rsidRPr="00865F8D">
        <w:rPr>
          <w:rStyle w:val="FootnoteReference"/>
          <w:sz w:val="16"/>
          <w:szCs w:val="16"/>
        </w:rPr>
        <w:footnoteRef/>
      </w:r>
      <w:r w:rsidRPr="00865F8D">
        <w:rPr>
          <w:sz w:val="16"/>
          <w:szCs w:val="16"/>
        </w:rPr>
        <w:t xml:space="preserve"> MCERT, March 2026, </w:t>
      </w:r>
      <w:hyperlink r:id="rId9" w:history="1">
        <w:r w:rsidR="00013DA3" w:rsidRPr="00865F8D">
          <w:rPr>
            <w:rStyle w:val="Hyperlink"/>
            <w:sz w:val="16"/>
            <w:szCs w:val="16"/>
          </w:rPr>
          <w:t>Change in Housi</w:t>
        </w:r>
        <w:r w:rsidR="00865F8D" w:rsidRPr="00865F8D">
          <w:rPr>
            <w:rStyle w:val="Hyperlink"/>
            <w:sz w:val="16"/>
            <w:szCs w:val="16"/>
          </w:rPr>
          <w:t>ng Affordability Indicators</w:t>
        </w:r>
      </w:hyperlink>
    </w:p>
  </w:footnote>
  <w:footnote w:id="11">
    <w:p w14:paraId="363A76A2" w14:textId="5B3C540B" w:rsidR="00CC7355" w:rsidRDefault="00CC7355">
      <w:pPr>
        <w:pStyle w:val="FootnoteText"/>
      </w:pPr>
      <w:r w:rsidRPr="00ED5FD2">
        <w:rPr>
          <w:rStyle w:val="FootnoteReference"/>
          <w:sz w:val="16"/>
          <w:szCs w:val="16"/>
        </w:rPr>
        <w:footnoteRef/>
      </w:r>
      <w:r w:rsidRPr="00ED5FD2">
        <w:rPr>
          <w:rStyle w:val="FootnoteReference"/>
          <w:sz w:val="16"/>
          <w:szCs w:val="16"/>
        </w:rPr>
        <w:t xml:space="preserve"> </w:t>
      </w:r>
      <w:r w:rsidRPr="00CC7355">
        <w:rPr>
          <w:sz w:val="16"/>
          <w:szCs w:val="16"/>
        </w:rPr>
        <w:t>Over the year to the March 2026 quarter, rental affordability improved by 7.8% in Wellington, 4.4% in Waikato, 4.2% in Auckland, and 3.6% in Canterbury</w:t>
      </w:r>
      <w:r w:rsidR="00ED5FD2">
        <w:rPr>
          <w:sz w:val="16"/>
          <w:szCs w:val="16"/>
        </w:rPr>
        <w:t>.</w:t>
      </w:r>
    </w:p>
  </w:footnote>
  <w:footnote w:id="12">
    <w:p w14:paraId="189E351E" w14:textId="77777777" w:rsidR="004B3D80" w:rsidRPr="00975662" w:rsidRDefault="004B3D80" w:rsidP="004B3D80">
      <w:pPr>
        <w:pStyle w:val="FootnoteText"/>
        <w:spacing w:after="0" w:line="240" w:lineRule="auto"/>
        <w:contextualSpacing/>
        <w:rPr>
          <w:rFonts w:asciiTheme="minorHAnsi" w:hAnsiTheme="minorHAnsi" w:cstheme="minorHAnsi"/>
          <w:sz w:val="18"/>
          <w:szCs w:val="18"/>
          <w:lang w:val="en-GB"/>
        </w:rPr>
      </w:pPr>
      <w:r w:rsidRPr="00975662">
        <w:rPr>
          <w:rStyle w:val="FootnoteReference"/>
          <w:rFonts w:asciiTheme="minorHAnsi" w:hAnsiTheme="minorHAnsi" w:cstheme="minorHAnsi"/>
          <w:sz w:val="18"/>
          <w:szCs w:val="18"/>
        </w:rPr>
        <w:footnoteRef/>
      </w:r>
      <w:r w:rsidRPr="00975662">
        <w:rPr>
          <w:rFonts w:asciiTheme="minorHAnsi" w:hAnsiTheme="minorHAnsi" w:cstheme="minorHAnsi"/>
          <w:sz w:val="18"/>
          <w:szCs w:val="18"/>
        </w:rPr>
        <w:t xml:space="preserve"> REINZ, July 2026, </w:t>
      </w:r>
      <w:hyperlink r:id="rId10" w:history="1">
        <w:r w:rsidRPr="00975662">
          <w:rPr>
            <w:rStyle w:val="Hyperlink"/>
            <w:rFonts w:asciiTheme="minorHAnsi" w:hAnsiTheme="minorHAnsi" w:cstheme="minorHAnsi"/>
            <w:sz w:val="18"/>
            <w:szCs w:val="18"/>
          </w:rPr>
          <w:t>New Zealand property report</w:t>
        </w:r>
      </w:hyperlink>
    </w:p>
  </w:footnote>
  <w:footnote w:id="13">
    <w:p w14:paraId="1C4738C1" w14:textId="77777777" w:rsidR="00A85CFF" w:rsidRPr="00975662" w:rsidRDefault="00A85CFF" w:rsidP="00A85CFF">
      <w:pPr>
        <w:pStyle w:val="FootnoteText"/>
        <w:spacing w:after="0" w:line="240" w:lineRule="auto"/>
        <w:contextualSpacing/>
        <w:rPr>
          <w:rFonts w:asciiTheme="minorHAnsi" w:hAnsiTheme="minorHAnsi" w:cstheme="minorHAnsi"/>
          <w:sz w:val="18"/>
          <w:szCs w:val="18"/>
          <w:lang w:val="en-GB"/>
        </w:rPr>
      </w:pPr>
      <w:r w:rsidRPr="00975662">
        <w:rPr>
          <w:rStyle w:val="FootnoteReference"/>
          <w:rFonts w:asciiTheme="minorHAnsi" w:hAnsiTheme="minorHAnsi" w:cstheme="minorHAnsi"/>
          <w:sz w:val="18"/>
          <w:szCs w:val="18"/>
        </w:rPr>
        <w:footnoteRef/>
      </w:r>
      <w:r w:rsidRPr="00975662">
        <w:rPr>
          <w:rFonts w:asciiTheme="minorHAnsi" w:hAnsiTheme="minorHAnsi" w:cstheme="minorHAnsi"/>
          <w:sz w:val="18"/>
          <w:szCs w:val="18"/>
        </w:rPr>
        <w:t xml:space="preserve"> </w:t>
      </w:r>
      <w:r w:rsidRPr="00975662">
        <w:rPr>
          <w:rFonts w:asciiTheme="minorHAnsi" w:hAnsiTheme="minorHAnsi" w:cstheme="minorHAnsi"/>
          <w:sz w:val="18"/>
          <w:szCs w:val="18"/>
          <w:lang w:val="en-GB"/>
        </w:rPr>
        <w:t xml:space="preserve">Realestate.co.nz, June 2026, </w:t>
      </w:r>
      <w:hyperlink r:id="rId11" w:history="1">
        <w:r w:rsidRPr="00975662">
          <w:rPr>
            <w:rStyle w:val="Hyperlink"/>
            <w:rFonts w:asciiTheme="minorHAnsi" w:hAnsiTheme="minorHAnsi" w:cstheme="minorHAnsi"/>
            <w:sz w:val="18"/>
            <w:szCs w:val="18"/>
            <w:lang w:val="en-GB"/>
          </w:rPr>
          <w:t>New Zealand Property Market Report</w:t>
        </w:r>
      </w:hyperlink>
    </w:p>
  </w:footnote>
  <w:footnote w:id="14">
    <w:p w14:paraId="7F2B7C4C" w14:textId="57756E15" w:rsidR="0066519C" w:rsidRPr="00975662" w:rsidRDefault="0066519C" w:rsidP="00975662">
      <w:pPr>
        <w:pStyle w:val="FootnoteText"/>
        <w:spacing w:after="0" w:line="240" w:lineRule="auto"/>
        <w:contextualSpacing/>
        <w:rPr>
          <w:sz w:val="18"/>
          <w:szCs w:val="18"/>
        </w:rPr>
      </w:pPr>
      <w:r w:rsidRPr="00975662">
        <w:rPr>
          <w:rStyle w:val="FootnoteReference"/>
          <w:rFonts w:asciiTheme="minorHAnsi" w:hAnsiTheme="minorHAnsi" w:cstheme="minorHAnsi"/>
          <w:sz w:val="18"/>
          <w:szCs w:val="18"/>
        </w:rPr>
        <w:footnoteRef/>
      </w:r>
      <w:r w:rsidRPr="00975662">
        <w:rPr>
          <w:rFonts w:asciiTheme="minorHAnsi" w:hAnsiTheme="minorHAnsi" w:cstheme="minorHAnsi"/>
          <w:sz w:val="18"/>
          <w:szCs w:val="18"/>
        </w:rPr>
        <w:t xml:space="preserve"> RBNZ, </w:t>
      </w:r>
      <w:r w:rsidR="00E35F59" w:rsidRPr="00975662">
        <w:rPr>
          <w:rFonts w:asciiTheme="minorHAnsi" w:hAnsiTheme="minorHAnsi" w:cstheme="minorHAnsi"/>
          <w:sz w:val="18"/>
          <w:szCs w:val="18"/>
        </w:rPr>
        <w:t>June</w:t>
      </w:r>
      <w:r w:rsidRPr="00975662">
        <w:rPr>
          <w:rFonts w:asciiTheme="minorHAnsi" w:hAnsiTheme="minorHAnsi" w:cstheme="minorHAnsi"/>
          <w:sz w:val="18"/>
          <w:szCs w:val="18"/>
        </w:rPr>
        <w:t xml:space="preserve"> 2026, </w:t>
      </w:r>
      <w:hyperlink r:id="rId12" w:history="1">
        <w:r w:rsidR="00564C6A" w:rsidRPr="00975662">
          <w:rPr>
            <w:rStyle w:val="Hyperlink"/>
            <w:rFonts w:asciiTheme="minorHAnsi" w:hAnsiTheme="minorHAnsi" w:cstheme="minorHAnsi"/>
            <w:sz w:val="18"/>
            <w:szCs w:val="18"/>
          </w:rPr>
          <w:t>Financial stability indicators</w:t>
        </w:r>
      </w:hyperlink>
      <w:r w:rsidRPr="00975662">
        <w:rPr>
          <w:sz w:val="18"/>
          <w:szCs w:val="18"/>
        </w:rPr>
        <w:t xml:space="preserve"> </w:t>
      </w:r>
    </w:p>
  </w:footnote>
  <w:footnote w:id="15">
    <w:p w14:paraId="43E5FD45" w14:textId="756E83DD" w:rsidR="0066519C" w:rsidRDefault="0066519C" w:rsidP="00975662">
      <w:pPr>
        <w:pStyle w:val="FootnoteText"/>
        <w:spacing w:after="0" w:line="240" w:lineRule="auto"/>
      </w:pPr>
      <w:r w:rsidRPr="00975662">
        <w:rPr>
          <w:rStyle w:val="FootnoteReference"/>
          <w:sz w:val="18"/>
          <w:szCs w:val="18"/>
        </w:rPr>
        <w:footnoteRef/>
      </w:r>
      <w:r w:rsidRPr="00975662">
        <w:rPr>
          <w:sz w:val="18"/>
          <w:szCs w:val="18"/>
        </w:rPr>
        <w:t xml:space="preserve"> </w:t>
      </w:r>
      <w:r w:rsidR="004514D3" w:rsidRPr="00975662">
        <w:rPr>
          <w:sz w:val="18"/>
          <w:szCs w:val="18"/>
        </w:rPr>
        <w:t xml:space="preserve">RBNZ, </w:t>
      </w:r>
      <w:r w:rsidR="009279E3" w:rsidRPr="00975662">
        <w:rPr>
          <w:sz w:val="18"/>
          <w:szCs w:val="18"/>
        </w:rPr>
        <w:t xml:space="preserve">May 2026, </w:t>
      </w:r>
      <w:hyperlink r:id="rId13" w:history="1">
        <w:r w:rsidR="009279E3" w:rsidRPr="00975662">
          <w:rPr>
            <w:rStyle w:val="Hyperlink"/>
            <w:sz w:val="18"/>
            <w:szCs w:val="18"/>
          </w:rPr>
          <w:t>R</w:t>
        </w:r>
        <w:r w:rsidR="00C4110C" w:rsidRPr="00975662">
          <w:rPr>
            <w:rStyle w:val="Hyperlink"/>
            <w:sz w:val="18"/>
            <w:szCs w:val="18"/>
          </w:rPr>
          <w:t xml:space="preserve">esidential mortgage </w:t>
        </w:r>
        <w:r w:rsidR="004514D3" w:rsidRPr="00975662">
          <w:rPr>
            <w:rStyle w:val="Hyperlink"/>
            <w:sz w:val="18"/>
            <w:szCs w:val="18"/>
          </w:rPr>
          <w:t>lending by borrower type</w:t>
        </w:r>
      </w:hyperlink>
      <w:r w:rsidR="00C4110C" w:rsidRPr="007D7012">
        <w:rPr>
          <w:sz w:val="18"/>
          <w:szCs w:val="18"/>
        </w:rPr>
        <w:t xml:space="preserve"> </w:t>
      </w:r>
    </w:p>
  </w:footnote>
  <w:footnote w:id="16">
    <w:p w14:paraId="2BD49874" w14:textId="0381E290" w:rsidR="00755D9C" w:rsidRPr="00A943D6" w:rsidRDefault="00755D9C" w:rsidP="00A943D6">
      <w:pPr>
        <w:pStyle w:val="FootnoteText"/>
        <w:spacing w:after="0"/>
        <w:rPr>
          <w:sz w:val="20"/>
          <w:szCs w:val="20"/>
        </w:rPr>
      </w:pPr>
      <w:r w:rsidRPr="00A943D6">
        <w:rPr>
          <w:rStyle w:val="FootnoteReference"/>
          <w:sz w:val="20"/>
          <w:szCs w:val="20"/>
        </w:rPr>
        <w:footnoteRef/>
      </w:r>
      <w:r w:rsidRPr="00A943D6">
        <w:rPr>
          <w:sz w:val="20"/>
          <w:szCs w:val="20"/>
        </w:rPr>
        <w:t xml:space="preserve"> Stats NZ, May 2026, </w:t>
      </w:r>
      <w:hyperlink r:id="rId14" w:history="1">
        <w:r w:rsidRPr="00A943D6">
          <w:rPr>
            <w:rStyle w:val="Hyperlink"/>
            <w:sz w:val="20"/>
            <w:szCs w:val="20"/>
          </w:rPr>
          <w:t>Building consents</w:t>
        </w:r>
      </w:hyperlink>
    </w:p>
  </w:footnote>
  <w:footnote w:id="17">
    <w:p w14:paraId="4A3E8018" w14:textId="57856EBA" w:rsidR="00B607D9" w:rsidRPr="00A943D6" w:rsidRDefault="00B607D9" w:rsidP="00A943D6">
      <w:pPr>
        <w:pStyle w:val="FootnoteText"/>
        <w:spacing w:after="0"/>
        <w:rPr>
          <w:sz w:val="20"/>
          <w:szCs w:val="20"/>
        </w:rPr>
      </w:pPr>
      <w:r w:rsidRPr="00A943D6">
        <w:rPr>
          <w:rStyle w:val="FootnoteReference"/>
          <w:sz w:val="20"/>
          <w:szCs w:val="20"/>
        </w:rPr>
        <w:footnoteRef/>
      </w:r>
      <w:r w:rsidRPr="00A943D6">
        <w:rPr>
          <w:sz w:val="20"/>
          <w:szCs w:val="20"/>
        </w:rPr>
        <w:t xml:space="preserve"> Stats NZ, March 2026, </w:t>
      </w:r>
      <w:hyperlink r:id="rId15" w:history="1">
        <w:r w:rsidRPr="00A943D6">
          <w:rPr>
            <w:rStyle w:val="Hyperlink"/>
            <w:sz w:val="20"/>
            <w:szCs w:val="20"/>
          </w:rPr>
          <w:t>Work put in place</w:t>
        </w:r>
      </w:hyperlink>
    </w:p>
  </w:footnote>
  <w:footnote w:id="18">
    <w:p w14:paraId="32DE83FB" w14:textId="5CEE1DAC" w:rsidR="003E5ACE" w:rsidRDefault="003E5ACE" w:rsidP="00A943D6">
      <w:pPr>
        <w:pStyle w:val="FootnoteText"/>
        <w:spacing w:after="0"/>
      </w:pPr>
      <w:r w:rsidRPr="00457D02">
        <w:rPr>
          <w:rStyle w:val="FootnoteReference"/>
          <w:sz w:val="20"/>
          <w:szCs w:val="20"/>
        </w:rPr>
        <w:footnoteRef/>
      </w:r>
      <w:r w:rsidRPr="00457D02">
        <w:rPr>
          <w:sz w:val="20"/>
          <w:szCs w:val="20"/>
        </w:rPr>
        <w:t xml:space="preserve"> </w:t>
      </w:r>
      <w:r w:rsidR="007A182D" w:rsidRPr="00457D02">
        <w:rPr>
          <w:sz w:val="20"/>
          <w:szCs w:val="20"/>
        </w:rPr>
        <w:t>Stats NZ</w:t>
      </w:r>
      <w:r w:rsidRPr="00457D02">
        <w:rPr>
          <w:sz w:val="20"/>
          <w:szCs w:val="20"/>
        </w:rPr>
        <w:t xml:space="preserve">, June 2026, </w:t>
      </w:r>
      <w:hyperlink r:id="rId16" w:history="1">
        <w:r w:rsidR="007A182D" w:rsidRPr="00457D02">
          <w:rPr>
            <w:rStyle w:val="Hyperlink"/>
            <w:sz w:val="20"/>
            <w:szCs w:val="20"/>
          </w:rPr>
          <w:t>Consumer Price Index</w:t>
        </w:r>
        <w:r w:rsidR="00824CAA" w:rsidRPr="00457D02">
          <w:rPr>
            <w:rStyle w:val="Hyperlink"/>
            <w:sz w:val="20"/>
            <w:szCs w:val="20"/>
          </w:rPr>
          <w:t xml:space="preserve"> (Purchase of housing</w:t>
        </w:r>
      </w:hyperlink>
      <w:r w:rsidR="008E28D4" w:rsidRPr="00457D02">
        <w:rPr>
          <w:sz w:val="20"/>
          <w:szCs w:val="20"/>
        </w:rPr>
        <w:t>)</w:t>
      </w:r>
      <w:r w:rsidR="008E28D4" w:rsidRPr="00A943D6">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7393" w14:textId="4DA7C430" w:rsidR="00FA350A" w:rsidRDefault="002D63D1">
    <w:pPr>
      <w:pStyle w:val="Header"/>
    </w:pPr>
    <w:r>
      <w:rPr>
        <w:noProof/>
      </w:rPr>
      <mc:AlternateContent>
        <mc:Choice Requires="wps">
          <w:drawing>
            <wp:anchor distT="0" distB="0" distL="0" distR="0" simplePos="0" relativeHeight="251658245" behindDoc="0" locked="0" layoutInCell="1" allowOverlap="1" wp14:anchorId="381E3A55" wp14:editId="085FA83E">
              <wp:simplePos x="635" y="635"/>
              <wp:positionH relativeFrom="page">
                <wp:align>center</wp:align>
              </wp:positionH>
              <wp:positionV relativeFrom="page">
                <wp:align>top</wp:align>
              </wp:positionV>
              <wp:extent cx="1002665" cy="444500"/>
              <wp:effectExtent l="0" t="0" r="6985" b="12700"/>
              <wp:wrapNone/>
              <wp:docPr id="1357509891"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320C42AE" w14:textId="1B66E22F"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1E3A55" id="_x0000_t202" coordsize="21600,21600" o:spt="202" path="m,l,21600r21600,l21600,xe">
              <v:stroke joinstyle="miter"/>
              <v:path gradientshapeok="t" o:connecttype="rect"/>
            </v:shapetype>
            <v:shape id="Text Box 5" o:spid="_x0000_s1027" type="#_x0000_t202" alt="[UNCLASSIFIED]" style="position:absolute;left:0;text-align:left;margin-left:0;margin-top:0;width:78.95pt;height:3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" filled="f" stroked="f">
              <v:textbox style="mso-fit-shape-to-text:t" inset="0,15pt,0,0">
                <w:txbxContent>
                  <w:p w14:paraId="320C42AE" w14:textId="1B66E22F"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1573" w14:textId="18E0B968" w:rsidR="00FA350A" w:rsidRDefault="002D63D1">
    <w:pPr>
      <w:pStyle w:val="Header"/>
    </w:pPr>
    <w:r>
      <w:rPr>
        <w:noProof/>
      </w:rPr>
      <mc:AlternateContent>
        <mc:Choice Requires="wps">
          <w:drawing>
            <wp:anchor distT="0" distB="0" distL="0" distR="0" simplePos="0" relativeHeight="251658246" behindDoc="0" locked="0" layoutInCell="1" allowOverlap="1" wp14:anchorId="0035957D" wp14:editId="228F12EB">
              <wp:simplePos x="635" y="635"/>
              <wp:positionH relativeFrom="page">
                <wp:align>center</wp:align>
              </wp:positionH>
              <wp:positionV relativeFrom="page">
                <wp:align>top</wp:align>
              </wp:positionV>
              <wp:extent cx="1002665" cy="444500"/>
              <wp:effectExtent l="0" t="0" r="6985" b="12700"/>
              <wp:wrapNone/>
              <wp:docPr id="818630360" name="Text Box 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48AB7022" w14:textId="73F9A423"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35957D" id="_x0000_t202" coordsize="21600,21600" o:spt="202" path="m,l,21600r21600,l21600,xe">
              <v:stroke joinstyle="miter"/>
              <v:path gradientshapeok="t" o:connecttype="rect"/>
            </v:shapetype>
            <v:shape id="Text Box 4" o:spid="_x0000_s1029" type="#_x0000_t202" alt="[UNCLASSIFIED]" style="position:absolute;left:0;text-align:left;margin-left:0;margin-top:0;width:78.95pt;height:3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" filled="f" stroked="f">
              <v:textbox style="mso-fit-shape-to-text:t" inset="0,15pt,0,0">
                <w:txbxContent>
                  <w:p w14:paraId="48AB7022" w14:textId="73F9A423"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9532" w14:textId="17B21B16" w:rsidR="00E5210B" w:rsidRDefault="002D63D1" w:rsidP="0036151C">
    <w:r>
      <w:rPr>
        <w:noProof/>
      </w:rPr>
      <mc:AlternateContent>
        <mc:Choice Requires="wps">
          <w:drawing>
            <wp:anchor distT="0" distB="0" distL="0" distR="0" simplePos="0" relativeHeight="251658240" behindDoc="0" locked="0" layoutInCell="1" allowOverlap="1" wp14:anchorId="45F2A9D7" wp14:editId="72836E55">
              <wp:simplePos x="635" y="635"/>
              <wp:positionH relativeFrom="page">
                <wp:align>center</wp:align>
              </wp:positionH>
              <wp:positionV relativeFrom="page">
                <wp:align>top</wp:align>
              </wp:positionV>
              <wp:extent cx="1002665" cy="444500"/>
              <wp:effectExtent l="0" t="0" r="6985" b="12700"/>
              <wp:wrapNone/>
              <wp:docPr id="1280664362" name="Text Box 7"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3FD3A6C7" w14:textId="35B1E71A"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2A9D7" id="_x0000_t202" coordsize="21600,21600" o:spt="202" path="m,l,21600r21600,l21600,xe">
              <v:stroke joinstyle="miter"/>
              <v:path gradientshapeok="t" o:connecttype="rect"/>
            </v:shapetype>
            <v:shape id="Text Box 7" o:spid="_x0000_s1031" type="#_x0000_t202" alt="[UNCLASSIFIED]" style="position:absolute;left:0;text-align:left;margin-left:0;margin-top:0;width:78.95pt;height:3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" filled="f" stroked="f">
              <v:textbox style="mso-fit-shape-to-text:t" inset="0,15pt,0,0">
                <w:txbxContent>
                  <w:p w14:paraId="3FD3A6C7" w14:textId="35B1E71A" w:rsidR="002D63D1" w:rsidRPr="002D63D1" w:rsidRDefault="002D63D1" w:rsidP="002D63D1">
                    <w:pPr>
                      <w:spacing w:after="0"/>
                      <w:rPr>
                        <w:rFonts w:ascii="Aptos" w:eastAsia="Aptos" w:hAnsi="Aptos" w:cs="Aptos"/>
                        <w:noProof/>
                        <w:color w:val="000000"/>
                      </w:rPr>
                    </w:pPr>
                    <w:r w:rsidRPr="002D63D1">
                      <w:rPr>
                        <w:rFonts w:ascii="Aptos" w:eastAsia="Aptos" w:hAnsi="Aptos" w:cs="Aptos"/>
                        <w:noProof/>
                        <w:color w:val="000000"/>
                      </w:rPr>
                      <w:t>[UNCLASSIFIED]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BA3A" w14:textId="31379E0E" w:rsidR="00E5210B" w:rsidRDefault="00E52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348"/>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2" w15:restartNumberingAfterBreak="0">
    <w:nsid w:val="0B0F5F0E"/>
    <w:multiLevelType w:val="multilevel"/>
    <w:tmpl w:val="6D4C952A"/>
    <w:lvl w:ilvl="0">
      <w:start w:val="1"/>
      <w:numFmt w:val="bullet"/>
      <w:lvlText w:val=""/>
      <w:lvlJc w:val="left"/>
      <w:pPr>
        <w:ind w:left="680" w:hanging="396"/>
      </w:pPr>
      <w:rPr>
        <w:rFonts w:ascii="Symbol" w:hAnsi="Symbol" w:hint="default"/>
        <w:color w:val="0F7B7D"/>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11757409"/>
    <w:multiLevelType w:val="hybridMultilevel"/>
    <w:tmpl w:val="9296E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63A6C3B"/>
    <w:multiLevelType w:val="hybridMultilevel"/>
    <w:tmpl w:val="DAB4D5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A4040A1"/>
    <w:multiLevelType w:val="multilevel"/>
    <w:tmpl w:val="2852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C2683A"/>
    <w:multiLevelType w:val="singleLevel"/>
    <w:tmpl w:val="14090001"/>
    <w:lvl w:ilvl="0">
      <w:start w:val="1"/>
      <w:numFmt w:val="bullet"/>
      <w:lvlText w:val=""/>
      <w:lvlJc w:val="left"/>
      <w:pPr>
        <w:tabs>
          <w:tab w:val="num" w:pos="397"/>
        </w:tabs>
        <w:ind w:left="0" w:firstLine="0"/>
      </w:pPr>
      <w:rPr>
        <w:rFonts w:ascii="Symbol" w:hAnsi="Symbol" w:hint="default"/>
      </w:rPr>
    </w:lvl>
  </w:abstractNum>
  <w:abstractNum w:abstractNumId="7" w15:restartNumberingAfterBreak="0">
    <w:nsid w:val="20115441"/>
    <w:multiLevelType w:val="multilevel"/>
    <w:tmpl w:val="45DECC76"/>
    <w:lvl w:ilvl="0">
      <w:start w:val="1"/>
      <w:numFmt w:val="decimal"/>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8"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 w15:restartNumberingAfterBreak="0">
    <w:nsid w:val="208C5CF5"/>
    <w:multiLevelType w:val="multilevel"/>
    <w:tmpl w:val="D076DAB2"/>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42C680A"/>
    <w:multiLevelType w:val="multilevel"/>
    <w:tmpl w:val="3E64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B41433"/>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9E0204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D1A6BE2"/>
    <w:multiLevelType w:val="multilevel"/>
    <w:tmpl w:val="20FCAAE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5" w15:restartNumberingAfterBreak="0">
    <w:nsid w:val="2E6F201E"/>
    <w:multiLevelType w:val="multilevel"/>
    <w:tmpl w:val="C7440BB4"/>
    <w:numStyleLink w:val="Style2"/>
  </w:abstractNum>
  <w:abstractNum w:abstractNumId="16"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7" w15:restartNumberingAfterBreak="0">
    <w:nsid w:val="34B129E4"/>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95B04BD"/>
    <w:multiLevelType w:val="multilevel"/>
    <w:tmpl w:val="DB22692C"/>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C857CC9"/>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D465A16"/>
    <w:multiLevelType w:val="multilevel"/>
    <w:tmpl w:val="7CBA8A44"/>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2C3D35"/>
    <w:multiLevelType w:val="hybridMultilevel"/>
    <w:tmpl w:val="93E68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33207A0"/>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3D6104"/>
    <w:multiLevelType w:val="multilevel"/>
    <w:tmpl w:val="F15AC15A"/>
    <w:lvl w:ilvl="0">
      <w:start w:val="1"/>
      <w:numFmt w:val="lowerRoman"/>
      <w:lvlText w:val="%1)"/>
      <w:lvlJc w:val="left"/>
      <w:pPr>
        <w:tabs>
          <w:tab w:val="num" w:pos="794"/>
        </w:tabs>
        <w:ind w:left="794" w:hanging="397"/>
      </w:pPr>
      <w:rPr>
        <w:rFonts w:ascii="Calibri" w:hAnsi="Calibri" w:cs="Arial" w:hint="default"/>
        <w:b w:val="0"/>
        <w:i w:val="0"/>
        <w:sz w:val="22"/>
        <w:szCs w:val="22"/>
      </w:rPr>
    </w:lvl>
    <w:lvl w:ilvl="1">
      <w:start w:val="1"/>
      <w:numFmt w:val="lowerLetter"/>
      <w:lvlText w:val="%2."/>
      <w:lvlJc w:val="left"/>
      <w:pPr>
        <w:tabs>
          <w:tab w:val="num" w:pos="1043"/>
        </w:tabs>
        <w:ind w:left="1043" w:hanging="360"/>
      </w:pPr>
      <w:rPr>
        <w:rFonts w:hint="default"/>
      </w:rPr>
    </w:lvl>
    <w:lvl w:ilvl="2">
      <w:start w:val="1"/>
      <w:numFmt w:val="lowerRoman"/>
      <w:lvlText w:val="%3."/>
      <w:lvlJc w:val="right"/>
      <w:pPr>
        <w:tabs>
          <w:tab w:val="num" w:pos="1763"/>
        </w:tabs>
        <w:ind w:left="1763" w:hanging="180"/>
      </w:pPr>
      <w:rPr>
        <w:rFonts w:hint="default"/>
      </w:rPr>
    </w:lvl>
    <w:lvl w:ilvl="3">
      <w:start w:val="1"/>
      <w:numFmt w:val="decimal"/>
      <w:lvlText w:val="%4."/>
      <w:lvlJc w:val="left"/>
      <w:pPr>
        <w:tabs>
          <w:tab w:val="num" w:pos="2483"/>
        </w:tabs>
        <w:ind w:left="2483" w:hanging="360"/>
      </w:pPr>
      <w:rPr>
        <w:rFonts w:hint="default"/>
      </w:rPr>
    </w:lvl>
    <w:lvl w:ilvl="4">
      <w:start w:val="1"/>
      <w:numFmt w:val="lowerLetter"/>
      <w:lvlText w:val="%5."/>
      <w:lvlJc w:val="left"/>
      <w:pPr>
        <w:tabs>
          <w:tab w:val="num" w:pos="3203"/>
        </w:tabs>
        <w:ind w:left="3203" w:hanging="360"/>
      </w:pPr>
      <w:rPr>
        <w:rFonts w:hint="default"/>
      </w:rPr>
    </w:lvl>
    <w:lvl w:ilvl="5">
      <w:start w:val="1"/>
      <w:numFmt w:val="lowerRoman"/>
      <w:lvlText w:val="%6."/>
      <w:lvlJc w:val="right"/>
      <w:pPr>
        <w:tabs>
          <w:tab w:val="num" w:pos="3923"/>
        </w:tabs>
        <w:ind w:left="3923" w:hanging="180"/>
      </w:pPr>
      <w:rPr>
        <w:rFonts w:hint="default"/>
      </w:rPr>
    </w:lvl>
    <w:lvl w:ilvl="6">
      <w:start w:val="1"/>
      <w:numFmt w:val="decimal"/>
      <w:lvlText w:val="%7."/>
      <w:lvlJc w:val="left"/>
      <w:pPr>
        <w:tabs>
          <w:tab w:val="num" w:pos="4643"/>
        </w:tabs>
        <w:ind w:left="4643" w:hanging="360"/>
      </w:pPr>
      <w:rPr>
        <w:rFonts w:hint="default"/>
      </w:rPr>
    </w:lvl>
    <w:lvl w:ilvl="7">
      <w:start w:val="1"/>
      <w:numFmt w:val="lowerLetter"/>
      <w:lvlText w:val="%8."/>
      <w:lvlJc w:val="left"/>
      <w:pPr>
        <w:tabs>
          <w:tab w:val="num" w:pos="5363"/>
        </w:tabs>
        <w:ind w:left="5363" w:hanging="360"/>
      </w:pPr>
      <w:rPr>
        <w:rFonts w:hint="default"/>
      </w:rPr>
    </w:lvl>
    <w:lvl w:ilvl="8">
      <w:start w:val="1"/>
      <w:numFmt w:val="lowerRoman"/>
      <w:lvlText w:val="%9."/>
      <w:lvlJc w:val="right"/>
      <w:pPr>
        <w:tabs>
          <w:tab w:val="num" w:pos="6083"/>
        </w:tabs>
        <w:ind w:left="6083" w:hanging="180"/>
      </w:pPr>
      <w:rPr>
        <w:rFonts w:hint="default"/>
      </w:rPr>
    </w:lvl>
  </w:abstractNum>
  <w:abstractNum w:abstractNumId="26" w15:restartNumberingAfterBreak="0">
    <w:nsid w:val="483F4D87"/>
    <w:multiLevelType w:val="multilevel"/>
    <w:tmpl w:val="3A2E6208"/>
    <w:lvl w:ilvl="0">
      <w:start w:val="1"/>
      <w:numFmt w:val="bullet"/>
      <w:lvlText w:val=""/>
      <w:lvlJc w:val="left"/>
      <w:pPr>
        <w:tabs>
          <w:tab w:val="num" w:pos="397"/>
        </w:tabs>
        <w:ind w:left="397" w:hanging="397"/>
      </w:pPr>
      <w:rPr>
        <w:rFonts w:ascii="Symbol" w:hAnsi="Symbol" w:hint="default"/>
        <w:color w:val="auto"/>
        <w:sz w:val="18"/>
        <w:szCs w:val="2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D643F5D"/>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3535234"/>
    <w:multiLevelType w:val="singleLevel"/>
    <w:tmpl w:val="3ACE82AE"/>
    <w:lvl w:ilvl="0">
      <w:start w:val="1"/>
      <w:numFmt w:val="bullet"/>
      <w:pStyle w:val="Boxbullet"/>
      <w:lvlText w:val=""/>
      <w:lvlJc w:val="left"/>
      <w:pPr>
        <w:ind w:left="644" w:hanging="360"/>
      </w:pPr>
      <w:rPr>
        <w:rFonts w:ascii="Symbol" w:hAnsi="Symbol" w:hint="default"/>
        <w:color w:val="005B73"/>
        <w:sz w:val="16"/>
      </w:rPr>
    </w:lvl>
  </w:abstractNum>
  <w:abstractNum w:abstractNumId="29" w15:restartNumberingAfterBreak="0">
    <w:nsid w:val="56857823"/>
    <w:multiLevelType w:val="hybridMultilevel"/>
    <w:tmpl w:val="6C905B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7A6321C"/>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A3B4A45"/>
    <w:multiLevelType w:val="hybridMultilevel"/>
    <w:tmpl w:val="E4A42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1490340"/>
    <w:multiLevelType w:val="hybridMultilevel"/>
    <w:tmpl w:val="AE846A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3B60280"/>
    <w:multiLevelType w:val="multilevel"/>
    <w:tmpl w:val="9FFC14DE"/>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40562F6"/>
    <w:multiLevelType w:val="multilevel"/>
    <w:tmpl w:val="95FA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8A6316"/>
    <w:multiLevelType w:val="hybridMultilevel"/>
    <w:tmpl w:val="F8BC0826"/>
    <w:lvl w:ilvl="0" w:tplc="2AF4521A">
      <w:start w:val="1"/>
      <w:numFmt w:val="bullet"/>
      <w:lvlText w:val=""/>
      <w:lvlJc w:val="left"/>
      <w:pPr>
        <w:ind w:left="720" w:hanging="360"/>
      </w:pPr>
      <w:rPr>
        <w:rFonts w:ascii="Symbol" w:hAnsi="Symbol" w:hint="default"/>
      </w:rPr>
    </w:lvl>
    <w:lvl w:ilvl="1" w:tplc="326CB890" w:tentative="1">
      <w:start w:val="1"/>
      <w:numFmt w:val="bullet"/>
      <w:lvlText w:val="o"/>
      <w:lvlJc w:val="left"/>
      <w:pPr>
        <w:ind w:left="1440" w:hanging="360"/>
      </w:pPr>
      <w:rPr>
        <w:rFonts w:ascii="Courier New" w:hAnsi="Courier New" w:cs="Courier New" w:hint="default"/>
      </w:rPr>
    </w:lvl>
    <w:lvl w:ilvl="2" w:tplc="03926F58" w:tentative="1">
      <w:start w:val="1"/>
      <w:numFmt w:val="bullet"/>
      <w:lvlText w:val=""/>
      <w:lvlJc w:val="left"/>
      <w:pPr>
        <w:ind w:left="2160" w:hanging="360"/>
      </w:pPr>
      <w:rPr>
        <w:rFonts w:ascii="Wingdings" w:hAnsi="Wingdings" w:hint="default"/>
      </w:rPr>
    </w:lvl>
    <w:lvl w:ilvl="3" w:tplc="F5ECFB66" w:tentative="1">
      <w:start w:val="1"/>
      <w:numFmt w:val="bullet"/>
      <w:lvlText w:val=""/>
      <w:lvlJc w:val="left"/>
      <w:pPr>
        <w:ind w:left="2880" w:hanging="360"/>
      </w:pPr>
      <w:rPr>
        <w:rFonts w:ascii="Symbol" w:hAnsi="Symbol" w:hint="default"/>
      </w:rPr>
    </w:lvl>
    <w:lvl w:ilvl="4" w:tplc="20B07310" w:tentative="1">
      <w:start w:val="1"/>
      <w:numFmt w:val="bullet"/>
      <w:lvlText w:val="o"/>
      <w:lvlJc w:val="left"/>
      <w:pPr>
        <w:ind w:left="3600" w:hanging="360"/>
      </w:pPr>
      <w:rPr>
        <w:rFonts w:ascii="Courier New" w:hAnsi="Courier New" w:cs="Courier New" w:hint="default"/>
      </w:rPr>
    </w:lvl>
    <w:lvl w:ilvl="5" w:tplc="94B42C86" w:tentative="1">
      <w:start w:val="1"/>
      <w:numFmt w:val="bullet"/>
      <w:lvlText w:val=""/>
      <w:lvlJc w:val="left"/>
      <w:pPr>
        <w:ind w:left="4320" w:hanging="360"/>
      </w:pPr>
      <w:rPr>
        <w:rFonts w:ascii="Wingdings" w:hAnsi="Wingdings" w:hint="default"/>
      </w:rPr>
    </w:lvl>
    <w:lvl w:ilvl="6" w:tplc="551A5E58" w:tentative="1">
      <w:start w:val="1"/>
      <w:numFmt w:val="bullet"/>
      <w:lvlText w:val=""/>
      <w:lvlJc w:val="left"/>
      <w:pPr>
        <w:ind w:left="5040" w:hanging="360"/>
      </w:pPr>
      <w:rPr>
        <w:rFonts w:ascii="Symbol" w:hAnsi="Symbol" w:hint="default"/>
      </w:rPr>
    </w:lvl>
    <w:lvl w:ilvl="7" w:tplc="DBBA094A" w:tentative="1">
      <w:start w:val="1"/>
      <w:numFmt w:val="bullet"/>
      <w:lvlText w:val="o"/>
      <w:lvlJc w:val="left"/>
      <w:pPr>
        <w:ind w:left="5760" w:hanging="360"/>
      </w:pPr>
      <w:rPr>
        <w:rFonts w:ascii="Courier New" w:hAnsi="Courier New" w:cs="Courier New" w:hint="default"/>
      </w:rPr>
    </w:lvl>
    <w:lvl w:ilvl="8" w:tplc="A3546D6C" w:tentative="1">
      <w:start w:val="1"/>
      <w:numFmt w:val="bullet"/>
      <w:lvlText w:val=""/>
      <w:lvlJc w:val="left"/>
      <w:pPr>
        <w:ind w:left="6480" w:hanging="360"/>
      </w:pPr>
      <w:rPr>
        <w:rFonts w:ascii="Wingdings" w:hAnsi="Wingdings" w:hint="default"/>
      </w:rPr>
    </w:lvl>
  </w:abstractNum>
  <w:abstractNum w:abstractNumId="36" w15:restartNumberingAfterBreak="0">
    <w:nsid w:val="684850E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CB13B0"/>
    <w:multiLevelType w:val="hybridMultilevel"/>
    <w:tmpl w:val="46B4C580"/>
    <w:lvl w:ilvl="0" w:tplc="535C6468">
      <w:start w:val="1"/>
      <w:numFmt w:val="bullet"/>
      <w:lvlText w:val="‒"/>
      <w:lvlJc w:val="left"/>
      <w:pPr>
        <w:ind w:left="1004" w:hanging="360"/>
      </w:pPr>
      <w:rPr>
        <w:rFonts w:ascii="Calibri" w:hAnsi="Calibri" w:cs="Times New Roman" w:hint="default"/>
        <w:color w:val="0F7B7D"/>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9" w15:restartNumberingAfterBreak="0">
    <w:nsid w:val="71BC1776"/>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4570D5C"/>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4A7DB2"/>
    <w:multiLevelType w:val="multilevel"/>
    <w:tmpl w:val="F976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num w:numId="1" w16cid:durableId="848715540">
    <w:abstractNumId w:val="16"/>
  </w:num>
  <w:num w:numId="2" w16cid:durableId="1287734805">
    <w:abstractNumId w:val="28"/>
  </w:num>
  <w:num w:numId="3" w16cid:durableId="1538541818">
    <w:abstractNumId w:val="43"/>
  </w:num>
  <w:num w:numId="4" w16cid:durableId="550508225">
    <w:abstractNumId w:val="21"/>
  </w:num>
  <w:num w:numId="5" w16cid:durableId="745567648">
    <w:abstractNumId w:val="14"/>
  </w:num>
  <w:num w:numId="6" w16cid:durableId="2076933510">
    <w:abstractNumId w:val="9"/>
  </w:num>
  <w:num w:numId="7" w16cid:durableId="1899433097">
    <w:abstractNumId w:val="25"/>
  </w:num>
  <w:num w:numId="8" w16cid:durableId="1088233813">
    <w:abstractNumId w:val="24"/>
  </w:num>
  <w:num w:numId="9" w16cid:durableId="394550804">
    <w:abstractNumId w:val="41"/>
  </w:num>
  <w:num w:numId="10" w16cid:durableId="17093806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4602378">
    <w:abstractNumId w:val="1"/>
  </w:num>
  <w:num w:numId="12" w16cid:durableId="1912157551">
    <w:abstractNumId w:val="35"/>
  </w:num>
  <w:num w:numId="13" w16cid:durableId="797454537">
    <w:abstractNumId w:val="23"/>
  </w:num>
  <w:num w:numId="14" w16cid:durableId="284310654">
    <w:abstractNumId w:val="40"/>
  </w:num>
  <w:num w:numId="15" w16cid:durableId="1819420646">
    <w:abstractNumId w:val="22"/>
  </w:num>
  <w:num w:numId="16" w16cid:durableId="1770615197">
    <w:abstractNumId w:val="13"/>
  </w:num>
  <w:num w:numId="17" w16cid:durableId="1658604841">
    <w:abstractNumId w:val="36"/>
  </w:num>
  <w:num w:numId="18" w16cid:durableId="905535034">
    <w:abstractNumId w:val="30"/>
  </w:num>
  <w:num w:numId="19" w16cid:durableId="1465346826">
    <w:abstractNumId w:val="37"/>
  </w:num>
  <w:num w:numId="20" w16cid:durableId="676690097">
    <w:abstractNumId w:val="15"/>
  </w:num>
  <w:num w:numId="21" w16cid:durableId="2031447556">
    <w:abstractNumId w:val="31"/>
  </w:num>
  <w:num w:numId="22" w16cid:durableId="752623358">
    <w:abstractNumId w:val="6"/>
  </w:num>
  <w:num w:numId="23" w16cid:durableId="867841801">
    <w:abstractNumId w:val="27"/>
  </w:num>
  <w:num w:numId="24" w16cid:durableId="720790089">
    <w:abstractNumId w:val="17"/>
  </w:num>
  <w:num w:numId="25" w16cid:durableId="222520331">
    <w:abstractNumId w:val="39"/>
  </w:num>
  <w:num w:numId="26" w16cid:durableId="717584311">
    <w:abstractNumId w:val="33"/>
  </w:num>
  <w:num w:numId="27" w16cid:durableId="779765061">
    <w:abstractNumId w:val="0"/>
  </w:num>
  <w:num w:numId="28" w16cid:durableId="342437984">
    <w:abstractNumId w:val="19"/>
  </w:num>
  <w:num w:numId="29" w16cid:durableId="86079989">
    <w:abstractNumId w:val="11"/>
  </w:num>
  <w:num w:numId="30" w16cid:durableId="190724435">
    <w:abstractNumId w:val="3"/>
  </w:num>
  <w:num w:numId="31" w16cid:durableId="180439593">
    <w:abstractNumId w:val="2"/>
  </w:num>
  <w:num w:numId="32" w16cid:durableId="2007590403">
    <w:abstractNumId w:val="7"/>
  </w:num>
  <w:num w:numId="33" w16cid:durableId="1951621493">
    <w:abstractNumId w:val="12"/>
  </w:num>
  <w:num w:numId="34" w16cid:durableId="1425766684">
    <w:abstractNumId w:val="20"/>
  </w:num>
  <w:num w:numId="35" w16cid:durableId="11616712">
    <w:abstractNumId w:val="18"/>
  </w:num>
  <w:num w:numId="36" w16cid:durableId="1911882459">
    <w:abstractNumId w:val="8"/>
  </w:num>
  <w:num w:numId="37" w16cid:durableId="1044714646">
    <w:abstractNumId w:val="38"/>
  </w:num>
  <w:num w:numId="38" w16cid:durableId="19952593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26585726">
    <w:abstractNumId w:val="5"/>
  </w:num>
  <w:num w:numId="40" w16cid:durableId="2083723007">
    <w:abstractNumId w:val="32"/>
  </w:num>
  <w:num w:numId="41" w16cid:durableId="2070107789">
    <w:abstractNumId w:val="42"/>
  </w:num>
  <w:num w:numId="42" w16cid:durableId="1890536037">
    <w:abstractNumId w:val="29"/>
  </w:num>
  <w:num w:numId="43" w16cid:durableId="1083184509">
    <w:abstractNumId w:val="4"/>
  </w:num>
  <w:num w:numId="44" w16cid:durableId="1722092434">
    <w:abstractNumId w:val="26"/>
  </w:num>
  <w:num w:numId="45" w16cid:durableId="1801148632">
    <w:abstractNumId w:val="34"/>
  </w:num>
  <w:num w:numId="46" w16cid:durableId="84347753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removeDateAndTime/>
  <w:defaultTabStop w:val="397"/>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CEF"/>
    <w:rsid w:val="00000792"/>
    <w:rsid w:val="00000F04"/>
    <w:rsid w:val="0000165C"/>
    <w:rsid w:val="00001943"/>
    <w:rsid w:val="00001CA1"/>
    <w:rsid w:val="00001EAC"/>
    <w:rsid w:val="00002034"/>
    <w:rsid w:val="00002A84"/>
    <w:rsid w:val="00003029"/>
    <w:rsid w:val="00003198"/>
    <w:rsid w:val="00003408"/>
    <w:rsid w:val="000034CA"/>
    <w:rsid w:val="00003857"/>
    <w:rsid w:val="00003C4F"/>
    <w:rsid w:val="00003F7B"/>
    <w:rsid w:val="00004C05"/>
    <w:rsid w:val="00004E0A"/>
    <w:rsid w:val="00004FD3"/>
    <w:rsid w:val="000051A4"/>
    <w:rsid w:val="00005B3A"/>
    <w:rsid w:val="00006881"/>
    <w:rsid w:val="00006A41"/>
    <w:rsid w:val="00006AF9"/>
    <w:rsid w:val="00006DF5"/>
    <w:rsid w:val="00006F95"/>
    <w:rsid w:val="00007023"/>
    <w:rsid w:val="00007091"/>
    <w:rsid w:val="0000709F"/>
    <w:rsid w:val="000071D6"/>
    <w:rsid w:val="00007207"/>
    <w:rsid w:val="00007F2D"/>
    <w:rsid w:val="00007FAC"/>
    <w:rsid w:val="000104CB"/>
    <w:rsid w:val="00010893"/>
    <w:rsid w:val="00010A9C"/>
    <w:rsid w:val="00010ABA"/>
    <w:rsid w:val="00010E15"/>
    <w:rsid w:val="00010F57"/>
    <w:rsid w:val="0001100C"/>
    <w:rsid w:val="00011188"/>
    <w:rsid w:val="00011968"/>
    <w:rsid w:val="0001227A"/>
    <w:rsid w:val="00012397"/>
    <w:rsid w:val="0001239C"/>
    <w:rsid w:val="0001245A"/>
    <w:rsid w:val="00012555"/>
    <w:rsid w:val="00012A27"/>
    <w:rsid w:val="00012B35"/>
    <w:rsid w:val="0001303C"/>
    <w:rsid w:val="00013543"/>
    <w:rsid w:val="00013DA3"/>
    <w:rsid w:val="00014236"/>
    <w:rsid w:val="000148F6"/>
    <w:rsid w:val="00014966"/>
    <w:rsid w:val="00014CB8"/>
    <w:rsid w:val="00015217"/>
    <w:rsid w:val="00015536"/>
    <w:rsid w:val="000159D2"/>
    <w:rsid w:val="00016264"/>
    <w:rsid w:val="00016993"/>
    <w:rsid w:val="00016C9B"/>
    <w:rsid w:val="00016CAB"/>
    <w:rsid w:val="00016E5B"/>
    <w:rsid w:val="0001749B"/>
    <w:rsid w:val="000176F5"/>
    <w:rsid w:val="00017D75"/>
    <w:rsid w:val="00017FE5"/>
    <w:rsid w:val="00020179"/>
    <w:rsid w:val="00020BCC"/>
    <w:rsid w:val="00021507"/>
    <w:rsid w:val="00021910"/>
    <w:rsid w:val="00021B7D"/>
    <w:rsid w:val="00022BA3"/>
    <w:rsid w:val="00022E8D"/>
    <w:rsid w:val="0002348A"/>
    <w:rsid w:val="000235B5"/>
    <w:rsid w:val="00023655"/>
    <w:rsid w:val="00023BDA"/>
    <w:rsid w:val="000241CD"/>
    <w:rsid w:val="00024708"/>
    <w:rsid w:val="000248FF"/>
    <w:rsid w:val="00024CFD"/>
    <w:rsid w:val="00024EE7"/>
    <w:rsid w:val="0002511F"/>
    <w:rsid w:val="000251A5"/>
    <w:rsid w:val="00025F96"/>
    <w:rsid w:val="00025FAB"/>
    <w:rsid w:val="0002688C"/>
    <w:rsid w:val="00026B41"/>
    <w:rsid w:val="00026E89"/>
    <w:rsid w:val="00026EA2"/>
    <w:rsid w:val="00026EC3"/>
    <w:rsid w:val="00026ED5"/>
    <w:rsid w:val="00027450"/>
    <w:rsid w:val="000275A3"/>
    <w:rsid w:val="000275A5"/>
    <w:rsid w:val="00027D93"/>
    <w:rsid w:val="00030493"/>
    <w:rsid w:val="00030558"/>
    <w:rsid w:val="00030699"/>
    <w:rsid w:val="00030725"/>
    <w:rsid w:val="000309B8"/>
    <w:rsid w:val="00030C68"/>
    <w:rsid w:val="00030DB8"/>
    <w:rsid w:val="00031489"/>
    <w:rsid w:val="0003165E"/>
    <w:rsid w:val="00031846"/>
    <w:rsid w:val="00031A83"/>
    <w:rsid w:val="00031B77"/>
    <w:rsid w:val="0003213A"/>
    <w:rsid w:val="000321D4"/>
    <w:rsid w:val="0003268F"/>
    <w:rsid w:val="000327AF"/>
    <w:rsid w:val="000327CF"/>
    <w:rsid w:val="00032A81"/>
    <w:rsid w:val="00032D13"/>
    <w:rsid w:val="00034013"/>
    <w:rsid w:val="0003407D"/>
    <w:rsid w:val="000340D8"/>
    <w:rsid w:val="0003427D"/>
    <w:rsid w:val="00034340"/>
    <w:rsid w:val="00034DFA"/>
    <w:rsid w:val="000357A8"/>
    <w:rsid w:val="000357ED"/>
    <w:rsid w:val="00035E15"/>
    <w:rsid w:val="00035F15"/>
    <w:rsid w:val="0003640E"/>
    <w:rsid w:val="0003688A"/>
    <w:rsid w:val="000368FC"/>
    <w:rsid w:val="00036A0D"/>
    <w:rsid w:val="00036DA3"/>
    <w:rsid w:val="00036FEC"/>
    <w:rsid w:val="0003742B"/>
    <w:rsid w:val="000379BF"/>
    <w:rsid w:val="00037AA5"/>
    <w:rsid w:val="00037BEC"/>
    <w:rsid w:val="000400D9"/>
    <w:rsid w:val="0004035C"/>
    <w:rsid w:val="00040860"/>
    <w:rsid w:val="00040CED"/>
    <w:rsid w:val="00040DBB"/>
    <w:rsid w:val="00040EA1"/>
    <w:rsid w:val="0004205F"/>
    <w:rsid w:val="000423C6"/>
    <w:rsid w:val="0004246F"/>
    <w:rsid w:val="0004247E"/>
    <w:rsid w:val="00042A0E"/>
    <w:rsid w:val="00042EDB"/>
    <w:rsid w:val="00043CBD"/>
    <w:rsid w:val="00043CC8"/>
    <w:rsid w:val="00044708"/>
    <w:rsid w:val="000448B7"/>
    <w:rsid w:val="00044A50"/>
    <w:rsid w:val="00044C65"/>
    <w:rsid w:val="00044CB4"/>
    <w:rsid w:val="00044F1A"/>
    <w:rsid w:val="00044F58"/>
    <w:rsid w:val="000458C7"/>
    <w:rsid w:val="00045991"/>
    <w:rsid w:val="00045E5C"/>
    <w:rsid w:val="00046288"/>
    <w:rsid w:val="00046435"/>
    <w:rsid w:val="00046BD3"/>
    <w:rsid w:val="000475A5"/>
    <w:rsid w:val="00047941"/>
    <w:rsid w:val="000479CF"/>
    <w:rsid w:val="00047B53"/>
    <w:rsid w:val="000504C0"/>
    <w:rsid w:val="000509DE"/>
    <w:rsid w:val="00050A22"/>
    <w:rsid w:val="00050A47"/>
    <w:rsid w:val="00050E27"/>
    <w:rsid w:val="0005144F"/>
    <w:rsid w:val="0005161F"/>
    <w:rsid w:val="00051739"/>
    <w:rsid w:val="00051AF1"/>
    <w:rsid w:val="00051D42"/>
    <w:rsid w:val="000522BD"/>
    <w:rsid w:val="000526C8"/>
    <w:rsid w:val="0005300B"/>
    <w:rsid w:val="000538A0"/>
    <w:rsid w:val="000538A1"/>
    <w:rsid w:val="00054EBD"/>
    <w:rsid w:val="00055375"/>
    <w:rsid w:val="00055AE1"/>
    <w:rsid w:val="00055BE6"/>
    <w:rsid w:val="00055FBE"/>
    <w:rsid w:val="00056319"/>
    <w:rsid w:val="000564E7"/>
    <w:rsid w:val="000566BC"/>
    <w:rsid w:val="00056770"/>
    <w:rsid w:val="000571E0"/>
    <w:rsid w:val="0005728B"/>
    <w:rsid w:val="00057386"/>
    <w:rsid w:val="00057390"/>
    <w:rsid w:val="000577B9"/>
    <w:rsid w:val="00057EEF"/>
    <w:rsid w:val="00057FFA"/>
    <w:rsid w:val="000604FE"/>
    <w:rsid w:val="000609BB"/>
    <w:rsid w:val="00061698"/>
    <w:rsid w:val="000619CB"/>
    <w:rsid w:val="00061F36"/>
    <w:rsid w:val="0006212D"/>
    <w:rsid w:val="00062387"/>
    <w:rsid w:val="00062F81"/>
    <w:rsid w:val="00063145"/>
    <w:rsid w:val="0006351B"/>
    <w:rsid w:val="000640F0"/>
    <w:rsid w:val="0006414B"/>
    <w:rsid w:val="000642E9"/>
    <w:rsid w:val="0006434D"/>
    <w:rsid w:val="000643A1"/>
    <w:rsid w:val="00064679"/>
    <w:rsid w:val="000646A1"/>
    <w:rsid w:val="00064A13"/>
    <w:rsid w:val="00064AF4"/>
    <w:rsid w:val="00064DB1"/>
    <w:rsid w:val="00065BA3"/>
    <w:rsid w:val="00065D3B"/>
    <w:rsid w:val="0006632F"/>
    <w:rsid w:val="000667D3"/>
    <w:rsid w:val="000667E9"/>
    <w:rsid w:val="0006687D"/>
    <w:rsid w:val="00067128"/>
    <w:rsid w:val="000672A7"/>
    <w:rsid w:val="000675CD"/>
    <w:rsid w:val="00067872"/>
    <w:rsid w:val="000678AC"/>
    <w:rsid w:val="00067E46"/>
    <w:rsid w:val="0007028B"/>
    <w:rsid w:val="00070306"/>
    <w:rsid w:val="000703B2"/>
    <w:rsid w:val="00070738"/>
    <w:rsid w:val="00070FBF"/>
    <w:rsid w:val="000711EE"/>
    <w:rsid w:val="0007180E"/>
    <w:rsid w:val="00071AE4"/>
    <w:rsid w:val="00071C3A"/>
    <w:rsid w:val="00071CB5"/>
    <w:rsid w:val="00071CCB"/>
    <w:rsid w:val="00071D03"/>
    <w:rsid w:val="0007207A"/>
    <w:rsid w:val="0007232B"/>
    <w:rsid w:val="00072AE0"/>
    <w:rsid w:val="00072C63"/>
    <w:rsid w:val="00072EDA"/>
    <w:rsid w:val="000730FA"/>
    <w:rsid w:val="000732DF"/>
    <w:rsid w:val="00073420"/>
    <w:rsid w:val="000735A2"/>
    <w:rsid w:val="000737ED"/>
    <w:rsid w:val="00073E77"/>
    <w:rsid w:val="00074710"/>
    <w:rsid w:val="0007517E"/>
    <w:rsid w:val="0007531E"/>
    <w:rsid w:val="00075F22"/>
    <w:rsid w:val="00075FD5"/>
    <w:rsid w:val="00075FE1"/>
    <w:rsid w:val="00076667"/>
    <w:rsid w:val="00076C4A"/>
    <w:rsid w:val="000770B7"/>
    <w:rsid w:val="00077473"/>
    <w:rsid w:val="00077481"/>
    <w:rsid w:val="00077517"/>
    <w:rsid w:val="000776F9"/>
    <w:rsid w:val="00077EE0"/>
    <w:rsid w:val="000802F9"/>
    <w:rsid w:val="00080D2C"/>
    <w:rsid w:val="0008145A"/>
    <w:rsid w:val="00081473"/>
    <w:rsid w:val="0008162D"/>
    <w:rsid w:val="00081A27"/>
    <w:rsid w:val="00082171"/>
    <w:rsid w:val="000831C8"/>
    <w:rsid w:val="00083BD0"/>
    <w:rsid w:val="00083F5E"/>
    <w:rsid w:val="00083FD5"/>
    <w:rsid w:val="00084C98"/>
    <w:rsid w:val="00084FDB"/>
    <w:rsid w:val="0008505C"/>
    <w:rsid w:val="000855C7"/>
    <w:rsid w:val="000859B9"/>
    <w:rsid w:val="00085C46"/>
    <w:rsid w:val="000860D1"/>
    <w:rsid w:val="000863BD"/>
    <w:rsid w:val="0008686A"/>
    <w:rsid w:val="00087175"/>
    <w:rsid w:val="00087467"/>
    <w:rsid w:val="00087746"/>
    <w:rsid w:val="00087D35"/>
    <w:rsid w:val="00090BAD"/>
    <w:rsid w:val="0009132D"/>
    <w:rsid w:val="00091468"/>
    <w:rsid w:val="00091796"/>
    <w:rsid w:val="00091BA2"/>
    <w:rsid w:val="00091CB0"/>
    <w:rsid w:val="000928FE"/>
    <w:rsid w:val="00092D34"/>
    <w:rsid w:val="00093811"/>
    <w:rsid w:val="00093A9D"/>
    <w:rsid w:val="00094344"/>
    <w:rsid w:val="00094886"/>
    <w:rsid w:val="00095105"/>
    <w:rsid w:val="000953C6"/>
    <w:rsid w:val="000953E5"/>
    <w:rsid w:val="000953F4"/>
    <w:rsid w:val="00095705"/>
    <w:rsid w:val="0009590C"/>
    <w:rsid w:val="000959E7"/>
    <w:rsid w:val="00095C0C"/>
    <w:rsid w:val="00095C45"/>
    <w:rsid w:val="00095E7D"/>
    <w:rsid w:val="000964DE"/>
    <w:rsid w:val="000965F0"/>
    <w:rsid w:val="00096626"/>
    <w:rsid w:val="00096876"/>
    <w:rsid w:val="000968C6"/>
    <w:rsid w:val="000972AB"/>
    <w:rsid w:val="0009744F"/>
    <w:rsid w:val="00097552"/>
    <w:rsid w:val="000975EF"/>
    <w:rsid w:val="00097B40"/>
    <w:rsid w:val="00097D0E"/>
    <w:rsid w:val="00097FBC"/>
    <w:rsid w:val="000A017D"/>
    <w:rsid w:val="000A0754"/>
    <w:rsid w:val="000A09CF"/>
    <w:rsid w:val="000A109B"/>
    <w:rsid w:val="000A17EA"/>
    <w:rsid w:val="000A1C7A"/>
    <w:rsid w:val="000A2146"/>
    <w:rsid w:val="000A2345"/>
    <w:rsid w:val="000A2394"/>
    <w:rsid w:val="000A23C7"/>
    <w:rsid w:val="000A26F4"/>
    <w:rsid w:val="000A2A81"/>
    <w:rsid w:val="000A31C1"/>
    <w:rsid w:val="000A32C5"/>
    <w:rsid w:val="000A334E"/>
    <w:rsid w:val="000A3411"/>
    <w:rsid w:val="000A34CA"/>
    <w:rsid w:val="000A409C"/>
    <w:rsid w:val="000A426F"/>
    <w:rsid w:val="000A4559"/>
    <w:rsid w:val="000A45FD"/>
    <w:rsid w:val="000A477B"/>
    <w:rsid w:val="000A4B1A"/>
    <w:rsid w:val="000A4FD2"/>
    <w:rsid w:val="000A52F5"/>
    <w:rsid w:val="000A558D"/>
    <w:rsid w:val="000A5611"/>
    <w:rsid w:val="000A563C"/>
    <w:rsid w:val="000A59C5"/>
    <w:rsid w:val="000A5DEA"/>
    <w:rsid w:val="000A5EBD"/>
    <w:rsid w:val="000A68F8"/>
    <w:rsid w:val="000A6B48"/>
    <w:rsid w:val="000A6D2C"/>
    <w:rsid w:val="000A7658"/>
    <w:rsid w:val="000A77A3"/>
    <w:rsid w:val="000A7D52"/>
    <w:rsid w:val="000A7F0F"/>
    <w:rsid w:val="000A7F4C"/>
    <w:rsid w:val="000B0051"/>
    <w:rsid w:val="000B02BC"/>
    <w:rsid w:val="000B02D0"/>
    <w:rsid w:val="000B0498"/>
    <w:rsid w:val="000B0901"/>
    <w:rsid w:val="000B0C5F"/>
    <w:rsid w:val="000B0EDD"/>
    <w:rsid w:val="000B0F36"/>
    <w:rsid w:val="000B137C"/>
    <w:rsid w:val="000B1942"/>
    <w:rsid w:val="000B1BED"/>
    <w:rsid w:val="000B2240"/>
    <w:rsid w:val="000B2477"/>
    <w:rsid w:val="000B2600"/>
    <w:rsid w:val="000B2960"/>
    <w:rsid w:val="000B2A79"/>
    <w:rsid w:val="000B2B49"/>
    <w:rsid w:val="000B2C3A"/>
    <w:rsid w:val="000B3339"/>
    <w:rsid w:val="000B342D"/>
    <w:rsid w:val="000B36F9"/>
    <w:rsid w:val="000B4074"/>
    <w:rsid w:val="000B4732"/>
    <w:rsid w:val="000B4795"/>
    <w:rsid w:val="000B4BCD"/>
    <w:rsid w:val="000B5491"/>
    <w:rsid w:val="000B5515"/>
    <w:rsid w:val="000B66DC"/>
    <w:rsid w:val="000B69E3"/>
    <w:rsid w:val="000B6D1F"/>
    <w:rsid w:val="000C004F"/>
    <w:rsid w:val="000C04B2"/>
    <w:rsid w:val="000C062F"/>
    <w:rsid w:val="000C09D4"/>
    <w:rsid w:val="000C0A86"/>
    <w:rsid w:val="000C0C96"/>
    <w:rsid w:val="000C1191"/>
    <w:rsid w:val="000C17E7"/>
    <w:rsid w:val="000C1ACF"/>
    <w:rsid w:val="000C1BBB"/>
    <w:rsid w:val="000C1D95"/>
    <w:rsid w:val="000C1E23"/>
    <w:rsid w:val="000C20A7"/>
    <w:rsid w:val="000C24E7"/>
    <w:rsid w:val="000C2C0C"/>
    <w:rsid w:val="000C2EE4"/>
    <w:rsid w:val="000C3270"/>
    <w:rsid w:val="000C42BE"/>
    <w:rsid w:val="000C4354"/>
    <w:rsid w:val="000C47ED"/>
    <w:rsid w:val="000C48A3"/>
    <w:rsid w:val="000C560C"/>
    <w:rsid w:val="000C577E"/>
    <w:rsid w:val="000C623A"/>
    <w:rsid w:val="000C66C7"/>
    <w:rsid w:val="000C6782"/>
    <w:rsid w:val="000C7478"/>
    <w:rsid w:val="000C7694"/>
    <w:rsid w:val="000C7EF7"/>
    <w:rsid w:val="000C7F56"/>
    <w:rsid w:val="000D0317"/>
    <w:rsid w:val="000D04BA"/>
    <w:rsid w:val="000D05AE"/>
    <w:rsid w:val="000D0A8F"/>
    <w:rsid w:val="000D0B6E"/>
    <w:rsid w:val="000D0CA0"/>
    <w:rsid w:val="000D0D65"/>
    <w:rsid w:val="000D12E0"/>
    <w:rsid w:val="000D130F"/>
    <w:rsid w:val="000D1944"/>
    <w:rsid w:val="000D1DD9"/>
    <w:rsid w:val="000D1E46"/>
    <w:rsid w:val="000D1E56"/>
    <w:rsid w:val="000D1F41"/>
    <w:rsid w:val="000D2172"/>
    <w:rsid w:val="000D293C"/>
    <w:rsid w:val="000D2BC1"/>
    <w:rsid w:val="000D2D70"/>
    <w:rsid w:val="000D31E2"/>
    <w:rsid w:val="000D337B"/>
    <w:rsid w:val="000D34A9"/>
    <w:rsid w:val="000D385A"/>
    <w:rsid w:val="000D38C2"/>
    <w:rsid w:val="000D3CA7"/>
    <w:rsid w:val="000D3DCC"/>
    <w:rsid w:val="000D436E"/>
    <w:rsid w:val="000D50D9"/>
    <w:rsid w:val="000D5783"/>
    <w:rsid w:val="000D5B16"/>
    <w:rsid w:val="000D5FD6"/>
    <w:rsid w:val="000D6201"/>
    <w:rsid w:val="000D6241"/>
    <w:rsid w:val="000D6488"/>
    <w:rsid w:val="000D681A"/>
    <w:rsid w:val="000D7088"/>
    <w:rsid w:val="000D70E0"/>
    <w:rsid w:val="000D7186"/>
    <w:rsid w:val="000D770B"/>
    <w:rsid w:val="000D788E"/>
    <w:rsid w:val="000E0ADF"/>
    <w:rsid w:val="000E0BE4"/>
    <w:rsid w:val="000E12B0"/>
    <w:rsid w:val="000E16FB"/>
    <w:rsid w:val="000E194E"/>
    <w:rsid w:val="000E19E1"/>
    <w:rsid w:val="000E1A08"/>
    <w:rsid w:val="000E1BC8"/>
    <w:rsid w:val="000E1D32"/>
    <w:rsid w:val="000E23AE"/>
    <w:rsid w:val="000E250A"/>
    <w:rsid w:val="000E26D8"/>
    <w:rsid w:val="000E2716"/>
    <w:rsid w:val="000E2809"/>
    <w:rsid w:val="000E2B94"/>
    <w:rsid w:val="000E3156"/>
    <w:rsid w:val="000E347E"/>
    <w:rsid w:val="000E3524"/>
    <w:rsid w:val="000E35B6"/>
    <w:rsid w:val="000E35D0"/>
    <w:rsid w:val="000E3BB8"/>
    <w:rsid w:val="000E3D9B"/>
    <w:rsid w:val="000E3DFD"/>
    <w:rsid w:val="000E3ED8"/>
    <w:rsid w:val="000E4261"/>
    <w:rsid w:val="000E4697"/>
    <w:rsid w:val="000E560C"/>
    <w:rsid w:val="000E58C5"/>
    <w:rsid w:val="000E58D7"/>
    <w:rsid w:val="000E5961"/>
    <w:rsid w:val="000E6203"/>
    <w:rsid w:val="000E64CB"/>
    <w:rsid w:val="000E706C"/>
    <w:rsid w:val="000E722C"/>
    <w:rsid w:val="000E755B"/>
    <w:rsid w:val="000E786F"/>
    <w:rsid w:val="000E7AC6"/>
    <w:rsid w:val="000E7DA7"/>
    <w:rsid w:val="000E7FA0"/>
    <w:rsid w:val="000F00BA"/>
    <w:rsid w:val="000F00C3"/>
    <w:rsid w:val="000F02F8"/>
    <w:rsid w:val="000F0409"/>
    <w:rsid w:val="000F049F"/>
    <w:rsid w:val="000F0642"/>
    <w:rsid w:val="000F07FA"/>
    <w:rsid w:val="000F092A"/>
    <w:rsid w:val="000F0B5E"/>
    <w:rsid w:val="000F0BC4"/>
    <w:rsid w:val="000F1D43"/>
    <w:rsid w:val="000F1FFF"/>
    <w:rsid w:val="000F20AA"/>
    <w:rsid w:val="000F2651"/>
    <w:rsid w:val="000F27B0"/>
    <w:rsid w:val="000F2B4B"/>
    <w:rsid w:val="000F30A7"/>
    <w:rsid w:val="000F348D"/>
    <w:rsid w:val="000F369A"/>
    <w:rsid w:val="000F409D"/>
    <w:rsid w:val="000F4463"/>
    <w:rsid w:val="000F4685"/>
    <w:rsid w:val="000F4C4C"/>
    <w:rsid w:val="000F4CE4"/>
    <w:rsid w:val="000F5285"/>
    <w:rsid w:val="000F52E0"/>
    <w:rsid w:val="000F53A9"/>
    <w:rsid w:val="000F5BED"/>
    <w:rsid w:val="000F6464"/>
    <w:rsid w:val="000F6628"/>
    <w:rsid w:val="000F6C25"/>
    <w:rsid w:val="000F72A0"/>
    <w:rsid w:val="000F72D5"/>
    <w:rsid w:val="000F7516"/>
    <w:rsid w:val="000F76EB"/>
    <w:rsid w:val="000F78AE"/>
    <w:rsid w:val="000F7AA7"/>
    <w:rsid w:val="000F7E25"/>
    <w:rsid w:val="000F7EC8"/>
    <w:rsid w:val="001007EE"/>
    <w:rsid w:val="00100D63"/>
    <w:rsid w:val="00100F76"/>
    <w:rsid w:val="0010103C"/>
    <w:rsid w:val="0010148E"/>
    <w:rsid w:val="001018BB"/>
    <w:rsid w:val="001022C1"/>
    <w:rsid w:val="0010253C"/>
    <w:rsid w:val="00102953"/>
    <w:rsid w:val="00102BD1"/>
    <w:rsid w:val="00102F84"/>
    <w:rsid w:val="001031C9"/>
    <w:rsid w:val="001039E2"/>
    <w:rsid w:val="00103A2D"/>
    <w:rsid w:val="0010486A"/>
    <w:rsid w:val="001048E7"/>
    <w:rsid w:val="00104AE5"/>
    <w:rsid w:val="0010505F"/>
    <w:rsid w:val="0010506C"/>
    <w:rsid w:val="0010561C"/>
    <w:rsid w:val="001056BE"/>
    <w:rsid w:val="00105AE8"/>
    <w:rsid w:val="00105C0F"/>
    <w:rsid w:val="00105E39"/>
    <w:rsid w:val="00106094"/>
    <w:rsid w:val="00106354"/>
    <w:rsid w:val="00106561"/>
    <w:rsid w:val="00106630"/>
    <w:rsid w:val="00106D63"/>
    <w:rsid w:val="001075F3"/>
    <w:rsid w:val="00107A01"/>
    <w:rsid w:val="00107C23"/>
    <w:rsid w:val="00107C58"/>
    <w:rsid w:val="00107E04"/>
    <w:rsid w:val="00110307"/>
    <w:rsid w:val="00110C7F"/>
    <w:rsid w:val="00110EE2"/>
    <w:rsid w:val="001112DB"/>
    <w:rsid w:val="00111A7A"/>
    <w:rsid w:val="00111A88"/>
    <w:rsid w:val="0011221A"/>
    <w:rsid w:val="00112ACD"/>
    <w:rsid w:val="00113283"/>
    <w:rsid w:val="001137AE"/>
    <w:rsid w:val="00113B20"/>
    <w:rsid w:val="00113DA8"/>
    <w:rsid w:val="00113DE6"/>
    <w:rsid w:val="001147B3"/>
    <w:rsid w:val="001148D4"/>
    <w:rsid w:val="001148F7"/>
    <w:rsid w:val="0011493E"/>
    <w:rsid w:val="001149B2"/>
    <w:rsid w:val="00114C2D"/>
    <w:rsid w:val="00114DA0"/>
    <w:rsid w:val="00114DAD"/>
    <w:rsid w:val="00115125"/>
    <w:rsid w:val="001152E7"/>
    <w:rsid w:val="001152F2"/>
    <w:rsid w:val="001154D6"/>
    <w:rsid w:val="001157D7"/>
    <w:rsid w:val="00115D5C"/>
    <w:rsid w:val="00115EA5"/>
    <w:rsid w:val="0011618C"/>
    <w:rsid w:val="00116382"/>
    <w:rsid w:val="00116484"/>
    <w:rsid w:val="00116764"/>
    <w:rsid w:val="00116ACF"/>
    <w:rsid w:val="00116D5C"/>
    <w:rsid w:val="001172B2"/>
    <w:rsid w:val="00117F9B"/>
    <w:rsid w:val="001201AD"/>
    <w:rsid w:val="0012061A"/>
    <w:rsid w:val="00121211"/>
    <w:rsid w:val="00121628"/>
    <w:rsid w:val="0012167D"/>
    <w:rsid w:val="0012194B"/>
    <w:rsid w:val="00122189"/>
    <w:rsid w:val="00122280"/>
    <w:rsid w:val="00122D42"/>
    <w:rsid w:val="00123006"/>
    <w:rsid w:val="0012301D"/>
    <w:rsid w:val="00123332"/>
    <w:rsid w:val="00123345"/>
    <w:rsid w:val="001239F5"/>
    <w:rsid w:val="00123B60"/>
    <w:rsid w:val="00123C46"/>
    <w:rsid w:val="00123E7E"/>
    <w:rsid w:val="0012463D"/>
    <w:rsid w:val="00124688"/>
    <w:rsid w:val="0012470B"/>
    <w:rsid w:val="00125721"/>
    <w:rsid w:val="001257EE"/>
    <w:rsid w:val="00125A2C"/>
    <w:rsid w:val="00125C75"/>
    <w:rsid w:val="00125C7E"/>
    <w:rsid w:val="00125DA1"/>
    <w:rsid w:val="0012686C"/>
    <w:rsid w:val="00126BD3"/>
    <w:rsid w:val="00126CCA"/>
    <w:rsid w:val="001274ED"/>
    <w:rsid w:val="001275ED"/>
    <w:rsid w:val="00127945"/>
    <w:rsid w:val="00127B80"/>
    <w:rsid w:val="00127B94"/>
    <w:rsid w:val="00127D94"/>
    <w:rsid w:val="00127E90"/>
    <w:rsid w:val="001302C1"/>
    <w:rsid w:val="00130381"/>
    <w:rsid w:val="001306D3"/>
    <w:rsid w:val="00130864"/>
    <w:rsid w:val="00130A41"/>
    <w:rsid w:val="00130DAD"/>
    <w:rsid w:val="001310BF"/>
    <w:rsid w:val="001315D1"/>
    <w:rsid w:val="00131997"/>
    <w:rsid w:val="00131C8B"/>
    <w:rsid w:val="00131CF7"/>
    <w:rsid w:val="0013290A"/>
    <w:rsid w:val="00132D2C"/>
    <w:rsid w:val="001334BE"/>
    <w:rsid w:val="00133814"/>
    <w:rsid w:val="00133BEB"/>
    <w:rsid w:val="00133E73"/>
    <w:rsid w:val="00133FDB"/>
    <w:rsid w:val="0013488D"/>
    <w:rsid w:val="00134A50"/>
    <w:rsid w:val="00134B2F"/>
    <w:rsid w:val="00134F4A"/>
    <w:rsid w:val="00134FE0"/>
    <w:rsid w:val="001351CB"/>
    <w:rsid w:val="00135BE4"/>
    <w:rsid w:val="00135E4E"/>
    <w:rsid w:val="00136246"/>
    <w:rsid w:val="001364B6"/>
    <w:rsid w:val="001364D4"/>
    <w:rsid w:val="0013651C"/>
    <w:rsid w:val="00136F69"/>
    <w:rsid w:val="001371C8"/>
    <w:rsid w:val="001372ED"/>
    <w:rsid w:val="00137382"/>
    <w:rsid w:val="001375AB"/>
    <w:rsid w:val="0013764F"/>
    <w:rsid w:val="001400D9"/>
    <w:rsid w:val="001403DC"/>
    <w:rsid w:val="00140482"/>
    <w:rsid w:val="00140FEF"/>
    <w:rsid w:val="0014164E"/>
    <w:rsid w:val="001416D4"/>
    <w:rsid w:val="00141770"/>
    <w:rsid w:val="00142074"/>
    <w:rsid w:val="001422F7"/>
    <w:rsid w:val="00142390"/>
    <w:rsid w:val="00142A06"/>
    <w:rsid w:val="00142B50"/>
    <w:rsid w:val="00143873"/>
    <w:rsid w:val="001439E9"/>
    <w:rsid w:val="00143C55"/>
    <w:rsid w:val="00143CA9"/>
    <w:rsid w:val="00143CB7"/>
    <w:rsid w:val="00143DB4"/>
    <w:rsid w:val="001442A9"/>
    <w:rsid w:val="00144C6F"/>
    <w:rsid w:val="00144DEE"/>
    <w:rsid w:val="00145089"/>
    <w:rsid w:val="001451E7"/>
    <w:rsid w:val="001455E0"/>
    <w:rsid w:val="00145FD2"/>
    <w:rsid w:val="001462E3"/>
    <w:rsid w:val="0014720C"/>
    <w:rsid w:val="001472C2"/>
    <w:rsid w:val="001473AC"/>
    <w:rsid w:val="00147458"/>
    <w:rsid w:val="00147E21"/>
    <w:rsid w:val="00150108"/>
    <w:rsid w:val="00150BA8"/>
    <w:rsid w:val="00150D19"/>
    <w:rsid w:val="001513ED"/>
    <w:rsid w:val="0015181B"/>
    <w:rsid w:val="001518D6"/>
    <w:rsid w:val="00151A9F"/>
    <w:rsid w:val="00151AD9"/>
    <w:rsid w:val="00152321"/>
    <w:rsid w:val="001524EF"/>
    <w:rsid w:val="0015251D"/>
    <w:rsid w:val="00152A62"/>
    <w:rsid w:val="00152AFE"/>
    <w:rsid w:val="00152B87"/>
    <w:rsid w:val="00152BFB"/>
    <w:rsid w:val="00152FB2"/>
    <w:rsid w:val="001532BB"/>
    <w:rsid w:val="00153A6A"/>
    <w:rsid w:val="00153A96"/>
    <w:rsid w:val="00153D1C"/>
    <w:rsid w:val="001540C7"/>
    <w:rsid w:val="001541C2"/>
    <w:rsid w:val="001543E2"/>
    <w:rsid w:val="001548F3"/>
    <w:rsid w:val="00154A67"/>
    <w:rsid w:val="00155109"/>
    <w:rsid w:val="0015513B"/>
    <w:rsid w:val="00155B43"/>
    <w:rsid w:val="00155E22"/>
    <w:rsid w:val="001565A2"/>
    <w:rsid w:val="001567C3"/>
    <w:rsid w:val="00156A12"/>
    <w:rsid w:val="0015767E"/>
    <w:rsid w:val="00157B3F"/>
    <w:rsid w:val="00157E78"/>
    <w:rsid w:val="00157F8A"/>
    <w:rsid w:val="00160C3D"/>
    <w:rsid w:val="00161B24"/>
    <w:rsid w:val="00161C41"/>
    <w:rsid w:val="00161DD5"/>
    <w:rsid w:val="00162292"/>
    <w:rsid w:val="0016249B"/>
    <w:rsid w:val="001628D0"/>
    <w:rsid w:val="00162CE2"/>
    <w:rsid w:val="00162E0C"/>
    <w:rsid w:val="00162FA0"/>
    <w:rsid w:val="0016313B"/>
    <w:rsid w:val="001633A4"/>
    <w:rsid w:val="0016348F"/>
    <w:rsid w:val="001634D6"/>
    <w:rsid w:val="001635A7"/>
    <w:rsid w:val="00163D29"/>
    <w:rsid w:val="00163D73"/>
    <w:rsid w:val="0016424C"/>
    <w:rsid w:val="001648DD"/>
    <w:rsid w:val="00165705"/>
    <w:rsid w:val="00165D1B"/>
    <w:rsid w:val="00165D80"/>
    <w:rsid w:val="00166389"/>
    <w:rsid w:val="00166E03"/>
    <w:rsid w:val="00167284"/>
    <w:rsid w:val="00167B89"/>
    <w:rsid w:val="00167E4C"/>
    <w:rsid w:val="00170879"/>
    <w:rsid w:val="001711C3"/>
    <w:rsid w:val="00171295"/>
    <w:rsid w:val="00171449"/>
    <w:rsid w:val="0017199C"/>
    <w:rsid w:val="00171C7E"/>
    <w:rsid w:val="00171F35"/>
    <w:rsid w:val="00172552"/>
    <w:rsid w:val="00172873"/>
    <w:rsid w:val="00172CF7"/>
    <w:rsid w:val="0017319E"/>
    <w:rsid w:val="00173326"/>
    <w:rsid w:val="00173A1F"/>
    <w:rsid w:val="00173BC3"/>
    <w:rsid w:val="00173FC6"/>
    <w:rsid w:val="00174128"/>
    <w:rsid w:val="00174572"/>
    <w:rsid w:val="00174580"/>
    <w:rsid w:val="00175451"/>
    <w:rsid w:val="00175740"/>
    <w:rsid w:val="00175867"/>
    <w:rsid w:val="00175C34"/>
    <w:rsid w:val="00175F9A"/>
    <w:rsid w:val="0017667F"/>
    <w:rsid w:val="00176E98"/>
    <w:rsid w:val="00177996"/>
    <w:rsid w:val="00177A1A"/>
    <w:rsid w:val="0018051B"/>
    <w:rsid w:val="00180532"/>
    <w:rsid w:val="00180790"/>
    <w:rsid w:val="0018081E"/>
    <w:rsid w:val="00180B3F"/>
    <w:rsid w:val="00180C83"/>
    <w:rsid w:val="00180CE5"/>
    <w:rsid w:val="0018160E"/>
    <w:rsid w:val="0018175B"/>
    <w:rsid w:val="0018186A"/>
    <w:rsid w:val="00181BF6"/>
    <w:rsid w:val="00181DD8"/>
    <w:rsid w:val="00182044"/>
    <w:rsid w:val="001820A3"/>
    <w:rsid w:val="00182F15"/>
    <w:rsid w:val="00182F32"/>
    <w:rsid w:val="0018332A"/>
    <w:rsid w:val="00183363"/>
    <w:rsid w:val="00183748"/>
    <w:rsid w:val="00183D80"/>
    <w:rsid w:val="00183E7B"/>
    <w:rsid w:val="001842C8"/>
    <w:rsid w:val="00185044"/>
    <w:rsid w:val="001850DB"/>
    <w:rsid w:val="00185889"/>
    <w:rsid w:val="0018599C"/>
    <w:rsid w:val="00185A95"/>
    <w:rsid w:val="00186482"/>
    <w:rsid w:val="001865B7"/>
    <w:rsid w:val="001869EE"/>
    <w:rsid w:val="00186A94"/>
    <w:rsid w:val="00186D00"/>
    <w:rsid w:val="00186F51"/>
    <w:rsid w:val="0018743A"/>
    <w:rsid w:val="00187745"/>
    <w:rsid w:val="00187C11"/>
    <w:rsid w:val="00190396"/>
    <w:rsid w:val="00190876"/>
    <w:rsid w:val="00190A57"/>
    <w:rsid w:val="00190B3F"/>
    <w:rsid w:val="00190D0D"/>
    <w:rsid w:val="0019122C"/>
    <w:rsid w:val="001914B8"/>
    <w:rsid w:val="00191896"/>
    <w:rsid w:val="00191908"/>
    <w:rsid w:val="00191B5E"/>
    <w:rsid w:val="00192DF3"/>
    <w:rsid w:val="0019301F"/>
    <w:rsid w:val="00193286"/>
    <w:rsid w:val="001937B8"/>
    <w:rsid w:val="00193E4B"/>
    <w:rsid w:val="00194A5A"/>
    <w:rsid w:val="00194BB7"/>
    <w:rsid w:val="00194CC5"/>
    <w:rsid w:val="001951B2"/>
    <w:rsid w:val="0019565D"/>
    <w:rsid w:val="00195961"/>
    <w:rsid w:val="00195DF4"/>
    <w:rsid w:val="0019630C"/>
    <w:rsid w:val="0019638A"/>
    <w:rsid w:val="00196A9D"/>
    <w:rsid w:val="00196BF4"/>
    <w:rsid w:val="00197024"/>
    <w:rsid w:val="001970EB"/>
    <w:rsid w:val="00197564"/>
    <w:rsid w:val="001975F0"/>
    <w:rsid w:val="001976AC"/>
    <w:rsid w:val="001977F4"/>
    <w:rsid w:val="00197EC2"/>
    <w:rsid w:val="00197ECE"/>
    <w:rsid w:val="001A0D5C"/>
    <w:rsid w:val="001A130C"/>
    <w:rsid w:val="001A1CED"/>
    <w:rsid w:val="001A223F"/>
    <w:rsid w:val="001A2453"/>
    <w:rsid w:val="001A279B"/>
    <w:rsid w:val="001A28B3"/>
    <w:rsid w:val="001A2983"/>
    <w:rsid w:val="001A2A32"/>
    <w:rsid w:val="001A2CCB"/>
    <w:rsid w:val="001A2DC3"/>
    <w:rsid w:val="001A2E87"/>
    <w:rsid w:val="001A2EA7"/>
    <w:rsid w:val="001A2F35"/>
    <w:rsid w:val="001A3342"/>
    <w:rsid w:val="001A35EC"/>
    <w:rsid w:val="001A3869"/>
    <w:rsid w:val="001A38C2"/>
    <w:rsid w:val="001A38C8"/>
    <w:rsid w:val="001A41A7"/>
    <w:rsid w:val="001A4381"/>
    <w:rsid w:val="001A4E9E"/>
    <w:rsid w:val="001A5995"/>
    <w:rsid w:val="001A5D80"/>
    <w:rsid w:val="001A6022"/>
    <w:rsid w:val="001A61E8"/>
    <w:rsid w:val="001A65C8"/>
    <w:rsid w:val="001A711D"/>
    <w:rsid w:val="001A732E"/>
    <w:rsid w:val="001A762B"/>
    <w:rsid w:val="001A798F"/>
    <w:rsid w:val="001A7AA9"/>
    <w:rsid w:val="001A7F30"/>
    <w:rsid w:val="001B06E2"/>
    <w:rsid w:val="001B0B86"/>
    <w:rsid w:val="001B0DC7"/>
    <w:rsid w:val="001B103A"/>
    <w:rsid w:val="001B103D"/>
    <w:rsid w:val="001B1513"/>
    <w:rsid w:val="001B15D1"/>
    <w:rsid w:val="001B1767"/>
    <w:rsid w:val="001B18AA"/>
    <w:rsid w:val="001B2041"/>
    <w:rsid w:val="001B2453"/>
    <w:rsid w:val="001B2A59"/>
    <w:rsid w:val="001B2EDA"/>
    <w:rsid w:val="001B3435"/>
    <w:rsid w:val="001B3836"/>
    <w:rsid w:val="001B3D48"/>
    <w:rsid w:val="001B4D8D"/>
    <w:rsid w:val="001B4F9A"/>
    <w:rsid w:val="001B51B4"/>
    <w:rsid w:val="001B5AF9"/>
    <w:rsid w:val="001B6600"/>
    <w:rsid w:val="001B6B9B"/>
    <w:rsid w:val="001B6C27"/>
    <w:rsid w:val="001B6D2F"/>
    <w:rsid w:val="001B6EDA"/>
    <w:rsid w:val="001B6F7D"/>
    <w:rsid w:val="001B6FC3"/>
    <w:rsid w:val="001B7144"/>
    <w:rsid w:val="001B7E91"/>
    <w:rsid w:val="001C147E"/>
    <w:rsid w:val="001C151B"/>
    <w:rsid w:val="001C1691"/>
    <w:rsid w:val="001C19E5"/>
    <w:rsid w:val="001C1B0D"/>
    <w:rsid w:val="001C27D9"/>
    <w:rsid w:val="001C27F9"/>
    <w:rsid w:val="001C2F49"/>
    <w:rsid w:val="001C30F7"/>
    <w:rsid w:val="001C3666"/>
    <w:rsid w:val="001C3800"/>
    <w:rsid w:val="001C3C7B"/>
    <w:rsid w:val="001C41B8"/>
    <w:rsid w:val="001C505A"/>
    <w:rsid w:val="001C53CC"/>
    <w:rsid w:val="001C6122"/>
    <w:rsid w:val="001C64FA"/>
    <w:rsid w:val="001C6587"/>
    <w:rsid w:val="001C69BE"/>
    <w:rsid w:val="001C6DB5"/>
    <w:rsid w:val="001C71AC"/>
    <w:rsid w:val="001C7316"/>
    <w:rsid w:val="001C7E5C"/>
    <w:rsid w:val="001D00CC"/>
    <w:rsid w:val="001D02B8"/>
    <w:rsid w:val="001D03DF"/>
    <w:rsid w:val="001D0494"/>
    <w:rsid w:val="001D0515"/>
    <w:rsid w:val="001D07B7"/>
    <w:rsid w:val="001D0A11"/>
    <w:rsid w:val="001D1719"/>
    <w:rsid w:val="001D171B"/>
    <w:rsid w:val="001D1732"/>
    <w:rsid w:val="001D1A9F"/>
    <w:rsid w:val="001D1B69"/>
    <w:rsid w:val="001D1E2E"/>
    <w:rsid w:val="001D2203"/>
    <w:rsid w:val="001D255C"/>
    <w:rsid w:val="001D2DEF"/>
    <w:rsid w:val="001D30BB"/>
    <w:rsid w:val="001D488C"/>
    <w:rsid w:val="001D49EA"/>
    <w:rsid w:val="001D4CDF"/>
    <w:rsid w:val="001D4F88"/>
    <w:rsid w:val="001D5196"/>
    <w:rsid w:val="001D568F"/>
    <w:rsid w:val="001D578D"/>
    <w:rsid w:val="001D5818"/>
    <w:rsid w:val="001D653A"/>
    <w:rsid w:val="001D7DEE"/>
    <w:rsid w:val="001D7EAB"/>
    <w:rsid w:val="001E0240"/>
    <w:rsid w:val="001E0250"/>
    <w:rsid w:val="001E02CB"/>
    <w:rsid w:val="001E0327"/>
    <w:rsid w:val="001E0F22"/>
    <w:rsid w:val="001E14FD"/>
    <w:rsid w:val="001E180F"/>
    <w:rsid w:val="001E19B4"/>
    <w:rsid w:val="001E1BD4"/>
    <w:rsid w:val="001E1C64"/>
    <w:rsid w:val="001E1CEC"/>
    <w:rsid w:val="001E1DB9"/>
    <w:rsid w:val="001E2ECB"/>
    <w:rsid w:val="001E329E"/>
    <w:rsid w:val="001E37B5"/>
    <w:rsid w:val="001E3A2F"/>
    <w:rsid w:val="001E4B64"/>
    <w:rsid w:val="001E552A"/>
    <w:rsid w:val="001E5617"/>
    <w:rsid w:val="001E57B9"/>
    <w:rsid w:val="001E5DCA"/>
    <w:rsid w:val="001E5E34"/>
    <w:rsid w:val="001E6C5E"/>
    <w:rsid w:val="001E6D1E"/>
    <w:rsid w:val="001E6E8D"/>
    <w:rsid w:val="001E6F2E"/>
    <w:rsid w:val="001E71E2"/>
    <w:rsid w:val="001E75E3"/>
    <w:rsid w:val="001E7EE4"/>
    <w:rsid w:val="001E7F76"/>
    <w:rsid w:val="001F0607"/>
    <w:rsid w:val="001F0A0A"/>
    <w:rsid w:val="001F0FAF"/>
    <w:rsid w:val="001F10CC"/>
    <w:rsid w:val="001F1188"/>
    <w:rsid w:val="001F12BF"/>
    <w:rsid w:val="001F139F"/>
    <w:rsid w:val="001F1A58"/>
    <w:rsid w:val="001F1B84"/>
    <w:rsid w:val="001F2102"/>
    <w:rsid w:val="001F2805"/>
    <w:rsid w:val="001F28AE"/>
    <w:rsid w:val="001F2ABC"/>
    <w:rsid w:val="001F2E79"/>
    <w:rsid w:val="001F2EDE"/>
    <w:rsid w:val="001F2F07"/>
    <w:rsid w:val="001F3123"/>
    <w:rsid w:val="001F376D"/>
    <w:rsid w:val="001F39AA"/>
    <w:rsid w:val="001F404D"/>
    <w:rsid w:val="001F418C"/>
    <w:rsid w:val="001F473C"/>
    <w:rsid w:val="001F4AC2"/>
    <w:rsid w:val="001F4B2D"/>
    <w:rsid w:val="001F4F40"/>
    <w:rsid w:val="001F4F7B"/>
    <w:rsid w:val="001F50E0"/>
    <w:rsid w:val="001F5766"/>
    <w:rsid w:val="001F594C"/>
    <w:rsid w:val="001F59B7"/>
    <w:rsid w:val="001F5B73"/>
    <w:rsid w:val="001F5BF4"/>
    <w:rsid w:val="001F5D1B"/>
    <w:rsid w:val="001F6985"/>
    <w:rsid w:val="001F69FC"/>
    <w:rsid w:val="001F6D62"/>
    <w:rsid w:val="001F7675"/>
    <w:rsid w:val="001F794D"/>
    <w:rsid w:val="00200268"/>
    <w:rsid w:val="002004FB"/>
    <w:rsid w:val="002007C9"/>
    <w:rsid w:val="002007EB"/>
    <w:rsid w:val="00200FAE"/>
    <w:rsid w:val="0020102D"/>
    <w:rsid w:val="002010E2"/>
    <w:rsid w:val="00201307"/>
    <w:rsid w:val="002013A6"/>
    <w:rsid w:val="002015E2"/>
    <w:rsid w:val="00201B73"/>
    <w:rsid w:val="002023C6"/>
    <w:rsid w:val="00202517"/>
    <w:rsid w:val="00202763"/>
    <w:rsid w:val="00202A5A"/>
    <w:rsid w:val="00202ADB"/>
    <w:rsid w:val="00202BB7"/>
    <w:rsid w:val="00202BD4"/>
    <w:rsid w:val="00202FC6"/>
    <w:rsid w:val="00203013"/>
    <w:rsid w:val="00203094"/>
    <w:rsid w:val="00203197"/>
    <w:rsid w:val="0020435B"/>
    <w:rsid w:val="00204533"/>
    <w:rsid w:val="00204630"/>
    <w:rsid w:val="00204692"/>
    <w:rsid w:val="00204830"/>
    <w:rsid w:val="00204C04"/>
    <w:rsid w:val="00204C8A"/>
    <w:rsid w:val="00204C94"/>
    <w:rsid w:val="00204D44"/>
    <w:rsid w:val="00204DB4"/>
    <w:rsid w:val="00204F2D"/>
    <w:rsid w:val="00205566"/>
    <w:rsid w:val="002063AA"/>
    <w:rsid w:val="0020790B"/>
    <w:rsid w:val="00207A0D"/>
    <w:rsid w:val="002103FF"/>
    <w:rsid w:val="00210549"/>
    <w:rsid w:val="0021069E"/>
    <w:rsid w:val="00210804"/>
    <w:rsid w:val="0021088F"/>
    <w:rsid w:val="002108B6"/>
    <w:rsid w:val="002113FE"/>
    <w:rsid w:val="00211737"/>
    <w:rsid w:val="0021181B"/>
    <w:rsid w:val="00211A28"/>
    <w:rsid w:val="00211AEF"/>
    <w:rsid w:val="00211DBB"/>
    <w:rsid w:val="00212085"/>
    <w:rsid w:val="00212089"/>
    <w:rsid w:val="0021220A"/>
    <w:rsid w:val="0021230F"/>
    <w:rsid w:val="002125B0"/>
    <w:rsid w:val="002125F6"/>
    <w:rsid w:val="002128AA"/>
    <w:rsid w:val="00212A82"/>
    <w:rsid w:val="00213062"/>
    <w:rsid w:val="00213652"/>
    <w:rsid w:val="00213805"/>
    <w:rsid w:val="00213A42"/>
    <w:rsid w:val="0021423F"/>
    <w:rsid w:val="00214331"/>
    <w:rsid w:val="00214EA2"/>
    <w:rsid w:val="0021501A"/>
    <w:rsid w:val="00215269"/>
    <w:rsid w:val="00215299"/>
    <w:rsid w:val="00215498"/>
    <w:rsid w:val="00215CE2"/>
    <w:rsid w:val="002160FA"/>
    <w:rsid w:val="002166DD"/>
    <w:rsid w:val="00216830"/>
    <w:rsid w:val="002168A2"/>
    <w:rsid w:val="00216AC3"/>
    <w:rsid w:val="00217867"/>
    <w:rsid w:val="00217FDF"/>
    <w:rsid w:val="002201EF"/>
    <w:rsid w:val="002202DA"/>
    <w:rsid w:val="002205E4"/>
    <w:rsid w:val="002207B4"/>
    <w:rsid w:val="00220B5C"/>
    <w:rsid w:val="00220D67"/>
    <w:rsid w:val="00220E6F"/>
    <w:rsid w:val="00220F49"/>
    <w:rsid w:val="00221286"/>
    <w:rsid w:val="002215F8"/>
    <w:rsid w:val="0022185A"/>
    <w:rsid w:val="00221E75"/>
    <w:rsid w:val="00221F80"/>
    <w:rsid w:val="0022273A"/>
    <w:rsid w:val="00222C77"/>
    <w:rsid w:val="00222D28"/>
    <w:rsid w:val="00222FE7"/>
    <w:rsid w:val="002239FC"/>
    <w:rsid w:val="00223CF4"/>
    <w:rsid w:val="00224220"/>
    <w:rsid w:val="00224327"/>
    <w:rsid w:val="00224346"/>
    <w:rsid w:val="00224398"/>
    <w:rsid w:val="00224593"/>
    <w:rsid w:val="00224A81"/>
    <w:rsid w:val="00224E91"/>
    <w:rsid w:val="002250C7"/>
    <w:rsid w:val="00225520"/>
    <w:rsid w:val="0022590C"/>
    <w:rsid w:val="00225B4C"/>
    <w:rsid w:val="00225E1E"/>
    <w:rsid w:val="00226129"/>
    <w:rsid w:val="0022614D"/>
    <w:rsid w:val="00226419"/>
    <w:rsid w:val="00226AA2"/>
    <w:rsid w:val="00226C7E"/>
    <w:rsid w:val="002271A9"/>
    <w:rsid w:val="00227218"/>
    <w:rsid w:val="0022770A"/>
    <w:rsid w:val="00227AD5"/>
    <w:rsid w:val="00227BEE"/>
    <w:rsid w:val="00227FB4"/>
    <w:rsid w:val="0023057E"/>
    <w:rsid w:val="002309A2"/>
    <w:rsid w:val="002309C4"/>
    <w:rsid w:val="002310AE"/>
    <w:rsid w:val="002312BC"/>
    <w:rsid w:val="00231988"/>
    <w:rsid w:val="00232273"/>
    <w:rsid w:val="00232564"/>
    <w:rsid w:val="002337E5"/>
    <w:rsid w:val="00233C06"/>
    <w:rsid w:val="00233F24"/>
    <w:rsid w:val="00234BBB"/>
    <w:rsid w:val="0023556E"/>
    <w:rsid w:val="002356F4"/>
    <w:rsid w:val="00235F02"/>
    <w:rsid w:val="00235F1F"/>
    <w:rsid w:val="00235F2D"/>
    <w:rsid w:val="00235FDF"/>
    <w:rsid w:val="0023610A"/>
    <w:rsid w:val="0023622E"/>
    <w:rsid w:val="00236310"/>
    <w:rsid w:val="00236D28"/>
    <w:rsid w:val="00236EC9"/>
    <w:rsid w:val="00237393"/>
    <w:rsid w:val="00237FE4"/>
    <w:rsid w:val="0024036F"/>
    <w:rsid w:val="00240656"/>
    <w:rsid w:val="002413D7"/>
    <w:rsid w:val="00241610"/>
    <w:rsid w:val="00241AED"/>
    <w:rsid w:val="00241E6F"/>
    <w:rsid w:val="00243182"/>
    <w:rsid w:val="002438E5"/>
    <w:rsid w:val="00243928"/>
    <w:rsid w:val="00243946"/>
    <w:rsid w:val="00243A85"/>
    <w:rsid w:val="00243BC5"/>
    <w:rsid w:val="00243C7D"/>
    <w:rsid w:val="00243D15"/>
    <w:rsid w:val="00243D3E"/>
    <w:rsid w:val="00243E9A"/>
    <w:rsid w:val="00244371"/>
    <w:rsid w:val="00244420"/>
    <w:rsid w:val="002448D4"/>
    <w:rsid w:val="00244AF8"/>
    <w:rsid w:val="00244BC5"/>
    <w:rsid w:val="00244E68"/>
    <w:rsid w:val="00244EB3"/>
    <w:rsid w:val="00245456"/>
    <w:rsid w:val="002456C5"/>
    <w:rsid w:val="00245ABE"/>
    <w:rsid w:val="00245C0B"/>
    <w:rsid w:val="00246617"/>
    <w:rsid w:val="00246937"/>
    <w:rsid w:val="00246B42"/>
    <w:rsid w:val="00246EAE"/>
    <w:rsid w:val="00247116"/>
    <w:rsid w:val="002471E5"/>
    <w:rsid w:val="002473BC"/>
    <w:rsid w:val="00247CD7"/>
    <w:rsid w:val="00247E50"/>
    <w:rsid w:val="002500A2"/>
    <w:rsid w:val="00250BE1"/>
    <w:rsid w:val="002516A1"/>
    <w:rsid w:val="002517A8"/>
    <w:rsid w:val="00251853"/>
    <w:rsid w:val="00251EEE"/>
    <w:rsid w:val="002521C0"/>
    <w:rsid w:val="00253177"/>
    <w:rsid w:val="0025327C"/>
    <w:rsid w:val="00253849"/>
    <w:rsid w:val="002538B8"/>
    <w:rsid w:val="0025396F"/>
    <w:rsid w:val="00253CE3"/>
    <w:rsid w:val="00254291"/>
    <w:rsid w:val="002542C6"/>
    <w:rsid w:val="00254319"/>
    <w:rsid w:val="002546A4"/>
    <w:rsid w:val="00254DDA"/>
    <w:rsid w:val="0025539F"/>
    <w:rsid w:val="00255808"/>
    <w:rsid w:val="0025592C"/>
    <w:rsid w:val="00255A32"/>
    <w:rsid w:val="00255A3C"/>
    <w:rsid w:val="00255A3D"/>
    <w:rsid w:val="00255B07"/>
    <w:rsid w:val="00256388"/>
    <w:rsid w:val="002564E5"/>
    <w:rsid w:val="00256E44"/>
    <w:rsid w:val="00257EDB"/>
    <w:rsid w:val="002605BF"/>
    <w:rsid w:val="00260684"/>
    <w:rsid w:val="0026083F"/>
    <w:rsid w:val="00260919"/>
    <w:rsid w:val="002612FD"/>
    <w:rsid w:val="00261337"/>
    <w:rsid w:val="002613DC"/>
    <w:rsid w:val="00261755"/>
    <w:rsid w:val="00261AAA"/>
    <w:rsid w:val="00261B69"/>
    <w:rsid w:val="00262097"/>
    <w:rsid w:val="00262825"/>
    <w:rsid w:val="00262D20"/>
    <w:rsid w:val="002634AB"/>
    <w:rsid w:val="002636E4"/>
    <w:rsid w:val="002638E0"/>
    <w:rsid w:val="00263B6B"/>
    <w:rsid w:val="00263C19"/>
    <w:rsid w:val="00263E50"/>
    <w:rsid w:val="00263E9F"/>
    <w:rsid w:val="00263FAA"/>
    <w:rsid w:val="002641E7"/>
    <w:rsid w:val="0026427E"/>
    <w:rsid w:val="002644D7"/>
    <w:rsid w:val="002648C7"/>
    <w:rsid w:val="00264922"/>
    <w:rsid w:val="0026498C"/>
    <w:rsid w:val="00264F03"/>
    <w:rsid w:val="00264F8F"/>
    <w:rsid w:val="002655AE"/>
    <w:rsid w:val="002655F4"/>
    <w:rsid w:val="0026591F"/>
    <w:rsid w:val="0026596E"/>
    <w:rsid w:val="00265976"/>
    <w:rsid w:val="00265A65"/>
    <w:rsid w:val="00265C53"/>
    <w:rsid w:val="00265DB0"/>
    <w:rsid w:val="002660F0"/>
    <w:rsid w:val="00266FBE"/>
    <w:rsid w:val="002670D1"/>
    <w:rsid w:val="0026755F"/>
    <w:rsid w:val="002675B6"/>
    <w:rsid w:val="00267A99"/>
    <w:rsid w:val="00270271"/>
    <w:rsid w:val="0027048C"/>
    <w:rsid w:val="00270B79"/>
    <w:rsid w:val="002718B8"/>
    <w:rsid w:val="002719AE"/>
    <w:rsid w:val="00272174"/>
    <w:rsid w:val="002721A6"/>
    <w:rsid w:val="002722E0"/>
    <w:rsid w:val="002730EC"/>
    <w:rsid w:val="00273100"/>
    <w:rsid w:val="00273413"/>
    <w:rsid w:val="002735CC"/>
    <w:rsid w:val="00273CB7"/>
    <w:rsid w:val="00274588"/>
    <w:rsid w:val="00274872"/>
    <w:rsid w:val="002748D8"/>
    <w:rsid w:val="00274A05"/>
    <w:rsid w:val="00274A67"/>
    <w:rsid w:val="00274AA2"/>
    <w:rsid w:val="002756EF"/>
    <w:rsid w:val="00275708"/>
    <w:rsid w:val="0027617E"/>
    <w:rsid w:val="00276540"/>
    <w:rsid w:val="002768CF"/>
    <w:rsid w:val="00276F82"/>
    <w:rsid w:val="0027779E"/>
    <w:rsid w:val="00277983"/>
    <w:rsid w:val="00277E33"/>
    <w:rsid w:val="00277E76"/>
    <w:rsid w:val="00280083"/>
    <w:rsid w:val="0028025D"/>
    <w:rsid w:val="002805DF"/>
    <w:rsid w:val="0028092D"/>
    <w:rsid w:val="002815D9"/>
    <w:rsid w:val="00282317"/>
    <w:rsid w:val="002826D1"/>
    <w:rsid w:val="002827D7"/>
    <w:rsid w:val="00282A66"/>
    <w:rsid w:val="00282D25"/>
    <w:rsid w:val="00282DF9"/>
    <w:rsid w:val="002839D3"/>
    <w:rsid w:val="00283A44"/>
    <w:rsid w:val="00283E40"/>
    <w:rsid w:val="002845D9"/>
    <w:rsid w:val="002849F0"/>
    <w:rsid w:val="00284B7D"/>
    <w:rsid w:val="0028529F"/>
    <w:rsid w:val="00285687"/>
    <w:rsid w:val="00285BA3"/>
    <w:rsid w:val="00286303"/>
    <w:rsid w:val="00287133"/>
    <w:rsid w:val="00287649"/>
    <w:rsid w:val="00287825"/>
    <w:rsid w:val="00287867"/>
    <w:rsid w:val="00287C7E"/>
    <w:rsid w:val="00287D47"/>
    <w:rsid w:val="00287DAB"/>
    <w:rsid w:val="00287FB6"/>
    <w:rsid w:val="0029007A"/>
    <w:rsid w:val="002900C5"/>
    <w:rsid w:val="002901E0"/>
    <w:rsid w:val="00290221"/>
    <w:rsid w:val="0029075B"/>
    <w:rsid w:val="00290BB1"/>
    <w:rsid w:val="00291BC1"/>
    <w:rsid w:val="002927C6"/>
    <w:rsid w:val="00292CC9"/>
    <w:rsid w:val="002933CA"/>
    <w:rsid w:val="00293A8F"/>
    <w:rsid w:val="00293BC1"/>
    <w:rsid w:val="00295155"/>
    <w:rsid w:val="002955B9"/>
    <w:rsid w:val="002958C4"/>
    <w:rsid w:val="00295D51"/>
    <w:rsid w:val="00296203"/>
    <w:rsid w:val="00296428"/>
    <w:rsid w:val="0029643D"/>
    <w:rsid w:val="0029706A"/>
    <w:rsid w:val="002972EE"/>
    <w:rsid w:val="00297F01"/>
    <w:rsid w:val="002A052D"/>
    <w:rsid w:val="002A05B6"/>
    <w:rsid w:val="002A0CD8"/>
    <w:rsid w:val="002A0DF8"/>
    <w:rsid w:val="002A1928"/>
    <w:rsid w:val="002A1B6A"/>
    <w:rsid w:val="002A1F1F"/>
    <w:rsid w:val="002A209D"/>
    <w:rsid w:val="002A21B5"/>
    <w:rsid w:val="002A2631"/>
    <w:rsid w:val="002A2A0C"/>
    <w:rsid w:val="002A2BB6"/>
    <w:rsid w:val="002A30E0"/>
    <w:rsid w:val="002A310C"/>
    <w:rsid w:val="002A32DC"/>
    <w:rsid w:val="002A3521"/>
    <w:rsid w:val="002A35C5"/>
    <w:rsid w:val="002A37E1"/>
    <w:rsid w:val="002A3B61"/>
    <w:rsid w:val="002A3F2A"/>
    <w:rsid w:val="002A402A"/>
    <w:rsid w:val="002A45AA"/>
    <w:rsid w:val="002A4811"/>
    <w:rsid w:val="002A4B0B"/>
    <w:rsid w:val="002A4B6F"/>
    <w:rsid w:val="002A4C18"/>
    <w:rsid w:val="002A4D72"/>
    <w:rsid w:val="002A4FFF"/>
    <w:rsid w:val="002A5063"/>
    <w:rsid w:val="002A533C"/>
    <w:rsid w:val="002A56E1"/>
    <w:rsid w:val="002A59BD"/>
    <w:rsid w:val="002A5D69"/>
    <w:rsid w:val="002A6D83"/>
    <w:rsid w:val="002A75CA"/>
    <w:rsid w:val="002A7889"/>
    <w:rsid w:val="002A799A"/>
    <w:rsid w:val="002B0952"/>
    <w:rsid w:val="002B097D"/>
    <w:rsid w:val="002B11B2"/>
    <w:rsid w:val="002B18F7"/>
    <w:rsid w:val="002B1C0F"/>
    <w:rsid w:val="002B1E9D"/>
    <w:rsid w:val="002B1EDA"/>
    <w:rsid w:val="002B2141"/>
    <w:rsid w:val="002B2603"/>
    <w:rsid w:val="002B2A45"/>
    <w:rsid w:val="002B2AED"/>
    <w:rsid w:val="002B30A5"/>
    <w:rsid w:val="002B315E"/>
    <w:rsid w:val="002B31CF"/>
    <w:rsid w:val="002B34A8"/>
    <w:rsid w:val="002B3BEF"/>
    <w:rsid w:val="002B3DC6"/>
    <w:rsid w:val="002B3ED7"/>
    <w:rsid w:val="002B4130"/>
    <w:rsid w:val="002B45CF"/>
    <w:rsid w:val="002B4778"/>
    <w:rsid w:val="002B4BAF"/>
    <w:rsid w:val="002B535B"/>
    <w:rsid w:val="002B59A9"/>
    <w:rsid w:val="002B5A76"/>
    <w:rsid w:val="002B600D"/>
    <w:rsid w:val="002B6330"/>
    <w:rsid w:val="002B6506"/>
    <w:rsid w:val="002B6712"/>
    <w:rsid w:val="002B7274"/>
    <w:rsid w:val="002B736C"/>
    <w:rsid w:val="002B7530"/>
    <w:rsid w:val="002B75B2"/>
    <w:rsid w:val="002B7744"/>
    <w:rsid w:val="002B79B7"/>
    <w:rsid w:val="002B7A3A"/>
    <w:rsid w:val="002C0793"/>
    <w:rsid w:val="002C0C28"/>
    <w:rsid w:val="002C141D"/>
    <w:rsid w:val="002C1965"/>
    <w:rsid w:val="002C19C0"/>
    <w:rsid w:val="002C1CBA"/>
    <w:rsid w:val="002C200A"/>
    <w:rsid w:val="002C2485"/>
    <w:rsid w:val="002C25E0"/>
    <w:rsid w:val="002C2A2D"/>
    <w:rsid w:val="002C2A8A"/>
    <w:rsid w:val="002C2CE3"/>
    <w:rsid w:val="002C36C0"/>
    <w:rsid w:val="002C3928"/>
    <w:rsid w:val="002C3B33"/>
    <w:rsid w:val="002C3B52"/>
    <w:rsid w:val="002C40C7"/>
    <w:rsid w:val="002C435E"/>
    <w:rsid w:val="002C43BB"/>
    <w:rsid w:val="002C44AB"/>
    <w:rsid w:val="002C5C4C"/>
    <w:rsid w:val="002C5E23"/>
    <w:rsid w:val="002C5E39"/>
    <w:rsid w:val="002C5FA2"/>
    <w:rsid w:val="002C618E"/>
    <w:rsid w:val="002C6B14"/>
    <w:rsid w:val="002C6CE3"/>
    <w:rsid w:val="002C779B"/>
    <w:rsid w:val="002C7A02"/>
    <w:rsid w:val="002C7BD4"/>
    <w:rsid w:val="002D0107"/>
    <w:rsid w:val="002D062E"/>
    <w:rsid w:val="002D07CA"/>
    <w:rsid w:val="002D0AC2"/>
    <w:rsid w:val="002D0D43"/>
    <w:rsid w:val="002D0F69"/>
    <w:rsid w:val="002D14D6"/>
    <w:rsid w:val="002D157F"/>
    <w:rsid w:val="002D15C2"/>
    <w:rsid w:val="002D18C8"/>
    <w:rsid w:val="002D18F3"/>
    <w:rsid w:val="002D1C6F"/>
    <w:rsid w:val="002D2B10"/>
    <w:rsid w:val="002D2C4E"/>
    <w:rsid w:val="002D3122"/>
    <w:rsid w:val="002D36D1"/>
    <w:rsid w:val="002D3842"/>
    <w:rsid w:val="002D386A"/>
    <w:rsid w:val="002D3A9E"/>
    <w:rsid w:val="002D4100"/>
    <w:rsid w:val="002D42DF"/>
    <w:rsid w:val="002D4479"/>
    <w:rsid w:val="002D477F"/>
    <w:rsid w:val="002D4A3F"/>
    <w:rsid w:val="002D4A57"/>
    <w:rsid w:val="002D4B9B"/>
    <w:rsid w:val="002D4D54"/>
    <w:rsid w:val="002D4E51"/>
    <w:rsid w:val="002D4F48"/>
    <w:rsid w:val="002D519B"/>
    <w:rsid w:val="002D5245"/>
    <w:rsid w:val="002D579F"/>
    <w:rsid w:val="002D599F"/>
    <w:rsid w:val="002D5A02"/>
    <w:rsid w:val="002D5CF6"/>
    <w:rsid w:val="002D60D8"/>
    <w:rsid w:val="002D621E"/>
    <w:rsid w:val="002D63A6"/>
    <w:rsid w:val="002D63D1"/>
    <w:rsid w:val="002D650B"/>
    <w:rsid w:val="002D66DA"/>
    <w:rsid w:val="002D7027"/>
    <w:rsid w:val="002D709E"/>
    <w:rsid w:val="002D70DC"/>
    <w:rsid w:val="002D7260"/>
    <w:rsid w:val="002D74E8"/>
    <w:rsid w:val="002D758B"/>
    <w:rsid w:val="002D7620"/>
    <w:rsid w:val="002D79BC"/>
    <w:rsid w:val="002D7E58"/>
    <w:rsid w:val="002E0865"/>
    <w:rsid w:val="002E0CF1"/>
    <w:rsid w:val="002E0D31"/>
    <w:rsid w:val="002E0EFA"/>
    <w:rsid w:val="002E1073"/>
    <w:rsid w:val="002E12A3"/>
    <w:rsid w:val="002E12EC"/>
    <w:rsid w:val="002E146D"/>
    <w:rsid w:val="002E17E1"/>
    <w:rsid w:val="002E1803"/>
    <w:rsid w:val="002E23AA"/>
    <w:rsid w:val="002E272B"/>
    <w:rsid w:val="002E29F8"/>
    <w:rsid w:val="002E2C52"/>
    <w:rsid w:val="002E342B"/>
    <w:rsid w:val="002E368D"/>
    <w:rsid w:val="002E3B81"/>
    <w:rsid w:val="002E3BF1"/>
    <w:rsid w:val="002E3D08"/>
    <w:rsid w:val="002E3D42"/>
    <w:rsid w:val="002E3E1D"/>
    <w:rsid w:val="002E3EEA"/>
    <w:rsid w:val="002E45B4"/>
    <w:rsid w:val="002E4D08"/>
    <w:rsid w:val="002E4DA5"/>
    <w:rsid w:val="002E52B8"/>
    <w:rsid w:val="002E544A"/>
    <w:rsid w:val="002E58C2"/>
    <w:rsid w:val="002E5916"/>
    <w:rsid w:val="002E5DBF"/>
    <w:rsid w:val="002E5E01"/>
    <w:rsid w:val="002E60F5"/>
    <w:rsid w:val="002E6536"/>
    <w:rsid w:val="002E6687"/>
    <w:rsid w:val="002E697C"/>
    <w:rsid w:val="002E69F5"/>
    <w:rsid w:val="002E6CAA"/>
    <w:rsid w:val="002E732D"/>
    <w:rsid w:val="002E7339"/>
    <w:rsid w:val="002E73EC"/>
    <w:rsid w:val="002E75AE"/>
    <w:rsid w:val="002E7642"/>
    <w:rsid w:val="002E78B2"/>
    <w:rsid w:val="002E7DBA"/>
    <w:rsid w:val="002E7F5B"/>
    <w:rsid w:val="002F023D"/>
    <w:rsid w:val="002F0E3C"/>
    <w:rsid w:val="002F10EC"/>
    <w:rsid w:val="002F1136"/>
    <w:rsid w:val="002F1231"/>
    <w:rsid w:val="002F1521"/>
    <w:rsid w:val="002F15EE"/>
    <w:rsid w:val="002F2807"/>
    <w:rsid w:val="002F2975"/>
    <w:rsid w:val="002F2ADA"/>
    <w:rsid w:val="002F2EB9"/>
    <w:rsid w:val="002F30C1"/>
    <w:rsid w:val="002F329E"/>
    <w:rsid w:val="002F3632"/>
    <w:rsid w:val="002F3AFB"/>
    <w:rsid w:val="002F3C41"/>
    <w:rsid w:val="002F4336"/>
    <w:rsid w:val="002F45FE"/>
    <w:rsid w:val="002F46C7"/>
    <w:rsid w:val="002F471A"/>
    <w:rsid w:val="002F48C6"/>
    <w:rsid w:val="002F4C8E"/>
    <w:rsid w:val="002F500D"/>
    <w:rsid w:val="002F5076"/>
    <w:rsid w:val="002F5839"/>
    <w:rsid w:val="002F5CF7"/>
    <w:rsid w:val="002F64D9"/>
    <w:rsid w:val="002F651D"/>
    <w:rsid w:val="002F6648"/>
    <w:rsid w:val="002F67D9"/>
    <w:rsid w:val="002F6B1A"/>
    <w:rsid w:val="002F6E44"/>
    <w:rsid w:val="002F74FD"/>
    <w:rsid w:val="002F787B"/>
    <w:rsid w:val="002F7974"/>
    <w:rsid w:val="002F7CFA"/>
    <w:rsid w:val="002F7D01"/>
    <w:rsid w:val="002F7DCB"/>
    <w:rsid w:val="002F7F3C"/>
    <w:rsid w:val="0030005C"/>
    <w:rsid w:val="00300369"/>
    <w:rsid w:val="003005A4"/>
    <w:rsid w:val="00300FE7"/>
    <w:rsid w:val="003018DB"/>
    <w:rsid w:val="003018EA"/>
    <w:rsid w:val="00301D0A"/>
    <w:rsid w:val="003027B8"/>
    <w:rsid w:val="0030293F"/>
    <w:rsid w:val="00302947"/>
    <w:rsid w:val="00302C50"/>
    <w:rsid w:val="003031C2"/>
    <w:rsid w:val="003034F7"/>
    <w:rsid w:val="00303861"/>
    <w:rsid w:val="00303FEF"/>
    <w:rsid w:val="00304057"/>
    <w:rsid w:val="003040C4"/>
    <w:rsid w:val="0030424F"/>
    <w:rsid w:val="00304294"/>
    <w:rsid w:val="003047B1"/>
    <w:rsid w:val="003049B1"/>
    <w:rsid w:val="00304FFF"/>
    <w:rsid w:val="003050F6"/>
    <w:rsid w:val="0030514A"/>
    <w:rsid w:val="0030521A"/>
    <w:rsid w:val="00305557"/>
    <w:rsid w:val="0030561F"/>
    <w:rsid w:val="00305CA3"/>
    <w:rsid w:val="00305D3B"/>
    <w:rsid w:val="00306773"/>
    <w:rsid w:val="00306842"/>
    <w:rsid w:val="0030687F"/>
    <w:rsid w:val="00306B0A"/>
    <w:rsid w:val="00306E11"/>
    <w:rsid w:val="00306E5C"/>
    <w:rsid w:val="00307C19"/>
    <w:rsid w:val="003105AF"/>
    <w:rsid w:val="00310732"/>
    <w:rsid w:val="003109F2"/>
    <w:rsid w:val="00310BC9"/>
    <w:rsid w:val="00310D16"/>
    <w:rsid w:val="0031118F"/>
    <w:rsid w:val="00311762"/>
    <w:rsid w:val="00311A8D"/>
    <w:rsid w:val="00311B04"/>
    <w:rsid w:val="00311E98"/>
    <w:rsid w:val="003120E6"/>
    <w:rsid w:val="00312215"/>
    <w:rsid w:val="0031249C"/>
    <w:rsid w:val="0031253F"/>
    <w:rsid w:val="003125C3"/>
    <w:rsid w:val="00312896"/>
    <w:rsid w:val="00313EAC"/>
    <w:rsid w:val="003142F4"/>
    <w:rsid w:val="0031437B"/>
    <w:rsid w:val="0031454E"/>
    <w:rsid w:val="00314B94"/>
    <w:rsid w:val="00314C38"/>
    <w:rsid w:val="00315248"/>
    <w:rsid w:val="00316079"/>
    <w:rsid w:val="0031611F"/>
    <w:rsid w:val="00316533"/>
    <w:rsid w:val="00316694"/>
    <w:rsid w:val="003167F6"/>
    <w:rsid w:val="00316940"/>
    <w:rsid w:val="00317142"/>
    <w:rsid w:val="0031732F"/>
    <w:rsid w:val="003179B0"/>
    <w:rsid w:val="00317A33"/>
    <w:rsid w:val="00320339"/>
    <w:rsid w:val="00321179"/>
    <w:rsid w:val="00321214"/>
    <w:rsid w:val="003213D5"/>
    <w:rsid w:val="003215D9"/>
    <w:rsid w:val="00322044"/>
    <w:rsid w:val="00322EF0"/>
    <w:rsid w:val="00323737"/>
    <w:rsid w:val="00323AD6"/>
    <w:rsid w:val="00323B11"/>
    <w:rsid w:val="00323F27"/>
    <w:rsid w:val="00323F7F"/>
    <w:rsid w:val="003242EF"/>
    <w:rsid w:val="0032478F"/>
    <w:rsid w:val="00325339"/>
    <w:rsid w:val="0032533D"/>
    <w:rsid w:val="003255AA"/>
    <w:rsid w:val="003258A1"/>
    <w:rsid w:val="003260EF"/>
    <w:rsid w:val="00327F87"/>
    <w:rsid w:val="00327FA7"/>
    <w:rsid w:val="00330907"/>
    <w:rsid w:val="00330EB4"/>
    <w:rsid w:val="00330FF7"/>
    <w:rsid w:val="003311C1"/>
    <w:rsid w:val="003312FB"/>
    <w:rsid w:val="003314B6"/>
    <w:rsid w:val="00331A20"/>
    <w:rsid w:val="00331A23"/>
    <w:rsid w:val="00331E65"/>
    <w:rsid w:val="00331F6F"/>
    <w:rsid w:val="003328F3"/>
    <w:rsid w:val="00332C20"/>
    <w:rsid w:val="00333107"/>
    <w:rsid w:val="0033343B"/>
    <w:rsid w:val="00333791"/>
    <w:rsid w:val="0033393C"/>
    <w:rsid w:val="00333FC0"/>
    <w:rsid w:val="00334AB4"/>
    <w:rsid w:val="00335377"/>
    <w:rsid w:val="003357EE"/>
    <w:rsid w:val="003358D5"/>
    <w:rsid w:val="00335EA4"/>
    <w:rsid w:val="00336AE9"/>
    <w:rsid w:val="00336CB4"/>
    <w:rsid w:val="00337368"/>
    <w:rsid w:val="003374EA"/>
    <w:rsid w:val="00337B4D"/>
    <w:rsid w:val="00337C14"/>
    <w:rsid w:val="00337C5E"/>
    <w:rsid w:val="003407A9"/>
    <w:rsid w:val="00340BA3"/>
    <w:rsid w:val="00340BAF"/>
    <w:rsid w:val="00340C1B"/>
    <w:rsid w:val="00340C2B"/>
    <w:rsid w:val="00340EB8"/>
    <w:rsid w:val="00340F9A"/>
    <w:rsid w:val="00340FB2"/>
    <w:rsid w:val="00341018"/>
    <w:rsid w:val="0034103D"/>
    <w:rsid w:val="00341723"/>
    <w:rsid w:val="00341A87"/>
    <w:rsid w:val="00341CDF"/>
    <w:rsid w:val="003420D9"/>
    <w:rsid w:val="003423E0"/>
    <w:rsid w:val="003427E4"/>
    <w:rsid w:val="0034301A"/>
    <w:rsid w:val="00343936"/>
    <w:rsid w:val="0034393C"/>
    <w:rsid w:val="003439EB"/>
    <w:rsid w:val="00343D76"/>
    <w:rsid w:val="00344618"/>
    <w:rsid w:val="00344BB1"/>
    <w:rsid w:val="00344D35"/>
    <w:rsid w:val="00344DFD"/>
    <w:rsid w:val="003451D3"/>
    <w:rsid w:val="003452FE"/>
    <w:rsid w:val="00345962"/>
    <w:rsid w:val="00345B64"/>
    <w:rsid w:val="00345D1E"/>
    <w:rsid w:val="00345F77"/>
    <w:rsid w:val="0034651A"/>
    <w:rsid w:val="00346631"/>
    <w:rsid w:val="00346AAD"/>
    <w:rsid w:val="00346D96"/>
    <w:rsid w:val="0034736A"/>
    <w:rsid w:val="003473C1"/>
    <w:rsid w:val="0034747C"/>
    <w:rsid w:val="00347783"/>
    <w:rsid w:val="003479D4"/>
    <w:rsid w:val="00347B6C"/>
    <w:rsid w:val="00347BA2"/>
    <w:rsid w:val="00347DE1"/>
    <w:rsid w:val="003507BC"/>
    <w:rsid w:val="0035151C"/>
    <w:rsid w:val="00351A1D"/>
    <w:rsid w:val="00352023"/>
    <w:rsid w:val="00352254"/>
    <w:rsid w:val="0035226E"/>
    <w:rsid w:val="003522A3"/>
    <w:rsid w:val="0035356B"/>
    <w:rsid w:val="00353929"/>
    <w:rsid w:val="00353F9E"/>
    <w:rsid w:val="00354017"/>
    <w:rsid w:val="003540D1"/>
    <w:rsid w:val="0035447F"/>
    <w:rsid w:val="003545BF"/>
    <w:rsid w:val="0035586A"/>
    <w:rsid w:val="00355A8D"/>
    <w:rsid w:val="00355B10"/>
    <w:rsid w:val="0035611A"/>
    <w:rsid w:val="0035692B"/>
    <w:rsid w:val="00356C3D"/>
    <w:rsid w:val="0035761B"/>
    <w:rsid w:val="00357999"/>
    <w:rsid w:val="00357E8A"/>
    <w:rsid w:val="00360A22"/>
    <w:rsid w:val="00360ACE"/>
    <w:rsid w:val="00360B33"/>
    <w:rsid w:val="00360B75"/>
    <w:rsid w:val="003612D6"/>
    <w:rsid w:val="003613AE"/>
    <w:rsid w:val="0036151C"/>
    <w:rsid w:val="00361A9B"/>
    <w:rsid w:val="003622EA"/>
    <w:rsid w:val="00362CCF"/>
    <w:rsid w:val="003631DB"/>
    <w:rsid w:val="00363335"/>
    <w:rsid w:val="003639A3"/>
    <w:rsid w:val="00363ECB"/>
    <w:rsid w:val="003641ED"/>
    <w:rsid w:val="00364524"/>
    <w:rsid w:val="0036484B"/>
    <w:rsid w:val="003649D0"/>
    <w:rsid w:val="00364C23"/>
    <w:rsid w:val="00364C84"/>
    <w:rsid w:val="0036513A"/>
    <w:rsid w:val="00365237"/>
    <w:rsid w:val="00365410"/>
    <w:rsid w:val="0036559C"/>
    <w:rsid w:val="003655DE"/>
    <w:rsid w:val="0036587E"/>
    <w:rsid w:val="003658E1"/>
    <w:rsid w:val="00365A58"/>
    <w:rsid w:val="00365B61"/>
    <w:rsid w:val="00366017"/>
    <w:rsid w:val="003660CD"/>
    <w:rsid w:val="003663E8"/>
    <w:rsid w:val="003664B9"/>
    <w:rsid w:val="00366AC2"/>
    <w:rsid w:val="00366B08"/>
    <w:rsid w:val="00366B6B"/>
    <w:rsid w:val="00367496"/>
    <w:rsid w:val="003674A0"/>
    <w:rsid w:val="0036763B"/>
    <w:rsid w:val="003678BE"/>
    <w:rsid w:val="003679F8"/>
    <w:rsid w:val="003700F8"/>
    <w:rsid w:val="003703D5"/>
    <w:rsid w:val="00370949"/>
    <w:rsid w:val="0037127F"/>
    <w:rsid w:val="0037174B"/>
    <w:rsid w:val="0037243B"/>
    <w:rsid w:val="0037251C"/>
    <w:rsid w:val="0037272C"/>
    <w:rsid w:val="00372A4F"/>
    <w:rsid w:val="00372B9A"/>
    <w:rsid w:val="003731BF"/>
    <w:rsid w:val="003734D2"/>
    <w:rsid w:val="00373CF3"/>
    <w:rsid w:val="00373D46"/>
    <w:rsid w:val="00375287"/>
    <w:rsid w:val="00375791"/>
    <w:rsid w:val="00375826"/>
    <w:rsid w:val="00375994"/>
    <w:rsid w:val="00375B00"/>
    <w:rsid w:val="00375C59"/>
    <w:rsid w:val="00375E05"/>
    <w:rsid w:val="0037680C"/>
    <w:rsid w:val="00376B9D"/>
    <w:rsid w:val="00376BB7"/>
    <w:rsid w:val="00376EEE"/>
    <w:rsid w:val="00377459"/>
    <w:rsid w:val="00377BA1"/>
    <w:rsid w:val="00377FD2"/>
    <w:rsid w:val="00377FF0"/>
    <w:rsid w:val="00380616"/>
    <w:rsid w:val="003806CE"/>
    <w:rsid w:val="00380A75"/>
    <w:rsid w:val="00380C43"/>
    <w:rsid w:val="00381022"/>
    <w:rsid w:val="003814B8"/>
    <w:rsid w:val="00381ECE"/>
    <w:rsid w:val="00381FD5"/>
    <w:rsid w:val="003820C0"/>
    <w:rsid w:val="00382498"/>
    <w:rsid w:val="00382909"/>
    <w:rsid w:val="00382EE1"/>
    <w:rsid w:val="0038328D"/>
    <w:rsid w:val="00383BDF"/>
    <w:rsid w:val="00384258"/>
    <w:rsid w:val="003843CD"/>
    <w:rsid w:val="00385131"/>
    <w:rsid w:val="003851E5"/>
    <w:rsid w:val="003853A6"/>
    <w:rsid w:val="00385CF3"/>
    <w:rsid w:val="00385FC1"/>
    <w:rsid w:val="003860E6"/>
    <w:rsid w:val="0038615B"/>
    <w:rsid w:val="0038620B"/>
    <w:rsid w:val="003863D1"/>
    <w:rsid w:val="00386EC0"/>
    <w:rsid w:val="00387266"/>
    <w:rsid w:val="0038731E"/>
    <w:rsid w:val="00387539"/>
    <w:rsid w:val="0038758F"/>
    <w:rsid w:val="00387647"/>
    <w:rsid w:val="003878FD"/>
    <w:rsid w:val="0038791A"/>
    <w:rsid w:val="00390056"/>
    <w:rsid w:val="0039055C"/>
    <w:rsid w:val="00390632"/>
    <w:rsid w:val="00390718"/>
    <w:rsid w:val="00390767"/>
    <w:rsid w:val="00390883"/>
    <w:rsid w:val="00390FE1"/>
    <w:rsid w:val="00391470"/>
    <w:rsid w:val="00391E8C"/>
    <w:rsid w:val="003920C4"/>
    <w:rsid w:val="00392184"/>
    <w:rsid w:val="00392652"/>
    <w:rsid w:val="0039282E"/>
    <w:rsid w:val="00392881"/>
    <w:rsid w:val="00392B41"/>
    <w:rsid w:val="00392E32"/>
    <w:rsid w:val="00393650"/>
    <w:rsid w:val="00393E06"/>
    <w:rsid w:val="0039456F"/>
    <w:rsid w:val="003945C8"/>
    <w:rsid w:val="0039480D"/>
    <w:rsid w:val="00395329"/>
    <w:rsid w:val="00395385"/>
    <w:rsid w:val="00395446"/>
    <w:rsid w:val="0039551F"/>
    <w:rsid w:val="003956D8"/>
    <w:rsid w:val="003958CD"/>
    <w:rsid w:val="00395C2B"/>
    <w:rsid w:val="00395D98"/>
    <w:rsid w:val="00395E99"/>
    <w:rsid w:val="00396284"/>
    <w:rsid w:val="00396725"/>
    <w:rsid w:val="003978C3"/>
    <w:rsid w:val="00397A28"/>
    <w:rsid w:val="00397E94"/>
    <w:rsid w:val="00397F05"/>
    <w:rsid w:val="003A0442"/>
    <w:rsid w:val="003A0899"/>
    <w:rsid w:val="003A1512"/>
    <w:rsid w:val="003A1EB7"/>
    <w:rsid w:val="003A1FC1"/>
    <w:rsid w:val="003A2133"/>
    <w:rsid w:val="003A21ED"/>
    <w:rsid w:val="003A23F3"/>
    <w:rsid w:val="003A2477"/>
    <w:rsid w:val="003A28CD"/>
    <w:rsid w:val="003A2AC8"/>
    <w:rsid w:val="003A2D82"/>
    <w:rsid w:val="003A337C"/>
    <w:rsid w:val="003A36DA"/>
    <w:rsid w:val="003A38F1"/>
    <w:rsid w:val="003A3B43"/>
    <w:rsid w:val="003A3D1B"/>
    <w:rsid w:val="003A3F29"/>
    <w:rsid w:val="003A3F39"/>
    <w:rsid w:val="003A4296"/>
    <w:rsid w:val="003A4549"/>
    <w:rsid w:val="003A49B3"/>
    <w:rsid w:val="003A4E5C"/>
    <w:rsid w:val="003A50CC"/>
    <w:rsid w:val="003A55B4"/>
    <w:rsid w:val="003A58FA"/>
    <w:rsid w:val="003A5E61"/>
    <w:rsid w:val="003A61B6"/>
    <w:rsid w:val="003A623F"/>
    <w:rsid w:val="003A66C5"/>
    <w:rsid w:val="003A6AB7"/>
    <w:rsid w:val="003A6FAD"/>
    <w:rsid w:val="003A71AD"/>
    <w:rsid w:val="003A7D1D"/>
    <w:rsid w:val="003B027F"/>
    <w:rsid w:val="003B033D"/>
    <w:rsid w:val="003B0480"/>
    <w:rsid w:val="003B0D0A"/>
    <w:rsid w:val="003B0D97"/>
    <w:rsid w:val="003B129F"/>
    <w:rsid w:val="003B12CA"/>
    <w:rsid w:val="003B1688"/>
    <w:rsid w:val="003B1FA4"/>
    <w:rsid w:val="003B1FE6"/>
    <w:rsid w:val="003B218C"/>
    <w:rsid w:val="003B2358"/>
    <w:rsid w:val="003B2432"/>
    <w:rsid w:val="003B2920"/>
    <w:rsid w:val="003B2A68"/>
    <w:rsid w:val="003B3106"/>
    <w:rsid w:val="003B3974"/>
    <w:rsid w:val="003B39E0"/>
    <w:rsid w:val="003B3DAB"/>
    <w:rsid w:val="003B404D"/>
    <w:rsid w:val="003B4237"/>
    <w:rsid w:val="003B42B0"/>
    <w:rsid w:val="003B4B34"/>
    <w:rsid w:val="003B4CDA"/>
    <w:rsid w:val="003B4D00"/>
    <w:rsid w:val="003B4F2D"/>
    <w:rsid w:val="003B5BD9"/>
    <w:rsid w:val="003B64A3"/>
    <w:rsid w:val="003B6660"/>
    <w:rsid w:val="003B6C49"/>
    <w:rsid w:val="003B6DB8"/>
    <w:rsid w:val="003B6FA2"/>
    <w:rsid w:val="003B70DA"/>
    <w:rsid w:val="003B72B9"/>
    <w:rsid w:val="003B754A"/>
    <w:rsid w:val="003B7DC0"/>
    <w:rsid w:val="003C0528"/>
    <w:rsid w:val="003C0887"/>
    <w:rsid w:val="003C08AF"/>
    <w:rsid w:val="003C11EE"/>
    <w:rsid w:val="003C1E53"/>
    <w:rsid w:val="003C2392"/>
    <w:rsid w:val="003C2905"/>
    <w:rsid w:val="003C2BA5"/>
    <w:rsid w:val="003C2CD3"/>
    <w:rsid w:val="003C2EDD"/>
    <w:rsid w:val="003C3220"/>
    <w:rsid w:val="003C3A47"/>
    <w:rsid w:val="003C3A79"/>
    <w:rsid w:val="003C3F05"/>
    <w:rsid w:val="003C4701"/>
    <w:rsid w:val="003C475E"/>
    <w:rsid w:val="003C47E1"/>
    <w:rsid w:val="003C48F2"/>
    <w:rsid w:val="003C5177"/>
    <w:rsid w:val="003C52B0"/>
    <w:rsid w:val="003C5502"/>
    <w:rsid w:val="003C5911"/>
    <w:rsid w:val="003C5CDB"/>
    <w:rsid w:val="003C60F1"/>
    <w:rsid w:val="003C6465"/>
    <w:rsid w:val="003C65E4"/>
    <w:rsid w:val="003C70E4"/>
    <w:rsid w:val="003C7712"/>
    <w:rsid w:val="003C7862"/>
    <w:rsid w:val="003C7ECD"/>
    <w:rsid w:val="003D007D"/>
    <w:rsid w:val="003D01A1"/>
    <w:rsid w:val="003D04D6"/>
    <w:rsid w:val="003D04F6"/>
    <w:rsid w:val="003D1455"/>
    <w:rsid w:val="003D1532"/>
    <w:rsid w:val="003D1659"/>
    <w:rsid w:val="003D18CC"/>
    <w:rsid w:val="003D1E7D"/>
    <w:rsid w:val="003D1E9E"/>
    <w:rsid w:val="003D2AA5"/>
    <w:rsid w:val="003D2B29"/>
    <w:rsid w:val="003D2CEC"/>
    <w:rsid w:val="003D30B0"/>
    <w:rsid w:val="003D31B5"/>
    <w:rsid w:val="003D3583"/>
    <w:rsid w:val="003D391E"/>
    <w:rsid w:val="003D3A55"/>
    <w:rsid w:val="003D3B6F"/>
    <w:rsid w:val="003D3C21"/>
    <w:rsid w:val="003D40E8"/>
    <w:rsid w:val="003D455E"/>
    <w:rsid w:val="003D4788"/>
    <w:rsid w:val="003D4A9E"/>
    <w:rsid w:val="003D4BA8"/>
    <w:rsid w:val="003D4D30"/>
    <w:rsid w:val="003D5785"/>
    <w:rsid w:val="003D5817"/>
    <w:rsid w:val="003D5A2D"/>
    <w:rsid w:val="003D5A9D"/>
    <w:rsid w:val="003D5E70"/>
    <w:rsid w:val="003D5F97"/>
    <w:rsid w:val="003D6134"/>
    <w:rsid w:val="003D62C0"/>
    <w:rsid w:val="003D65F6"/>
    <w:rsid w:val="003D6881"/>
    <w:rsid w:val="003D6911"/>
    <w:rsid w:val="003D7341"/>
    <w:rsid w:val="003D75B2"/>
    <w:rsid w:val="003D7E4B"/>
    <w:rsid w:val="003E0035"/>
    <w:rsid w:val="003E07E4"/>
    <w:rsid w:val="003E0903"/>
    <w:rsid w:val="003E0996"/>
    <w:rsid w:val="003E0AF3"/>
    <w:rsid w:val="003E0B77"/>
    <w:rsid w:val="003E0C14"/>
    <w:rsid w:val="003E0D6F"/>
    <w:rsid w:val="003E1567"/>
    <w:rsid w:val="003E1591"/>
    <w:rsid w:val="003E15D3"/>
    <w:rsid w:val="003E1ACF"/>
    <w:rsid w:val="003E216C"/>
    <w:rsid w:val="003E236E"/>
    <w:rsid w:val="003E259D"/>
    <w:rsid w:val="003E26BA"/>
    <w:rsid w:val="003E2906"/>
    <w:rsid w:val="003E2969"/>
    <w:rsid w:val="003E2C1A"/>
    <w:rsid w:val="003E330F"/>
    <w:rsid w:val="003E3478"/>
    <w:rsid w:val="003E3605"/>
    <w:rsid w:val="003E3A2C"/>
    <w:rsid w:val="003E40E9"/>
    <w:rsid w:val="003E42A3"/>
    <w:rsid w:val="003E4C35"/>
    <w:rsid w:val="003E4CEC"/>
    <w:rsid w:val="003E4E74"/>
    <w:rsid w:val="003E545B"/>
    <w:rsid w:val="003E5ACE"/>
    <w:rsid w:val="003E5C81"/>
    <w:rsid w:val="003E5F7D"/>
    <w:rsid w:val="003E6520"/>
    <w:rsid w:val="003E67E7"/>
    <w:rsid w:val="003E692C"/>
    <w:rsid w:val="003E6AFF"/>
    <w:rsid w:val="003E6B25"/>
    <w:rsid w:val="003E6B3C"/>
    <w:rsid w:val="003E6B95"/>
    <w:rsid w:val="003E6F95"/>
    <w:rsid w:val="003E70FF"/>
    <w:rsid w:val="003E7C4A"/>
    <w:rsid w:val="003E7C65"/>
    <w:rsid w:val="003E7F1B"/>
    <w:rsid w:val="003F0325"/>
    <w:rsid w:val="003F072F"/>
    <w:rsid w:val="003F0831"/>
    <w:rsid w:val="003F09F4"/>
    <w:rsid w:val="003F0B41"/>
    <w:rsid w:val="003F0B8A"/>
    <w:rsid w:val="003F1150"/>
    <w:rsid w:val="003F1312"/>
    <w:rsid w:val="003F138B"/>
    <w:rsid w:val="003F17D2"/>
    <w:rsid w:val="003F1BE2"/>
    <w:rsid w:val="003F1E34"/>
    <w:rsid w:val="003F1E39"/>
    <w:rsid w:val="003F20B9"/>
    <w:rsid w:val="003F229D"/>
    <w:rsid w:val="003F25F0"/>
    <w:rsid w:val="003F2D5B"/>
    <w:rsid w:val="003F2EF6"/>
    <w:rsid w:val="003F2FEA"/>
    <w:rsid w:val="003F3311"/>
    <w:rsid w:val="003F33DD"/>
    <w:rsid w:val="003F36DD"/>
    <w:rsid w:val="003F3D24"/>
    <w:rsid w:val="003F4EB8"/>
    <w:rsid w:val="003F547B"/>
    <w:rsid w:val="003F5AD2"/>
    <w:rsid w:val="003F5CA4"/>
    <w:rsid w:val="003F6D50"/>
    <w:rsid w:val="003F7006"/>
    <w:rsid w:val="003F70F9"/>
    <w:rsid w:val="003F7507"/>
    <w:rsid w:val="003F7B28"/>
    <w:rsid w:val="003F7C72"/>
    <w:rsid w:val="003F7D10"/>
    <w:rsid w:val="003F7DB7"/>
    <w:rsid w:val="003F7E4C"/>
    <w:rsid w:val="004003C6"/>
    <w:rsid w:val="004005F2"/>
    <w:rsid w:val="0040074D"/>
    <w:rsid w:val="00400A05"/>
    <w:rsid w:val="00400FAF"/>
    <w:rsid w:val="00401000"/>
    <w:rsid w:val="004016C6"/>
    <w:rsid w:val="0040179A"/>
    <w:rsid w:val="00401856"/>
    <w:rsid w:val="0040213E"/>
    <w:rsid w:val="004028A2"/>
    <w:rsid w:val="00402B0D"/>
    <w:rsid w:val="00402FEB"/>
    <w:rsid w:val="00403044"/>
    <w:rsid w:val="00403344"/>
    <w:rsid w:val="0040338A"/>
    <w:rsid w:val="00403532"/>
    <w:rsid w:val="00403C82"/>
    <w:rsid w:val="00404016"/>
    <w:rsid w:val="00404157"/>
    <w:rsid w:val="00404180"/>
    <w:rsid w:val="00404389"/>
    <w:rsid w:val="00404854"/>
    <w:rsid w:val="00404A3D"/>
    <w:rsid w:val="00404C44"/>
    <w:rsid w:val="00404EE8"/>
    <w:rsid w:val="0040510D"/>
    <w:rsid w:val="0040512D"/>
    <w:rsid w:val="00405155"/>
    <w:rsid w:val="004056FA"/>
    <w:rsid w:val="0040602F"/>
    <w:rsid w:val="00406049"/>
    <w:rsid w:val="00406AFB"/>
    <w:rsid w:val="00406C5A"/>
    <w:rsid w:val="00406E4E"/>
    <w:rsid w:val="00407382"/>
    <w:rsid w:val="0040791B"/>
    <w:rsid w:val="00407A19"/>
    <w:rsid w:val="004102C4"/>
    <w:rsid w:val="0041032F"/>
    <w:rsid w:val="004118A7"/>
    <w:rsid w:val="00411958"/>
    <w:rsid w:val="004119BF"/>
    <w:rsid w:val="00411B2A"/>
    <w:rsid w:val="00411E83"/>
    <w:rsid w:val="004128A9"/>
    <w:rsid w:val="00412973"/>
    <w:rsid w:val="00412CE2"/>
    <w:rsid w:val="00412D42"/>
    <w:rsid w:val="00412DA4"/>
    <w:rsid w:val="00412EB6"/>
    <w:rsid w:val="00412FF9"/>
    <w:rsid w:val="00413057"/>
    <w:rsid w:val="00413076"/>
    <w:rsid w:val="0041351F"/>
    <w:rsid w:val="00413765"/>
    <w:rsid w:val="00413767"/>
    <w:rsid w:val="004137C8"/>
    <w:rsid w:val="00413BF9"/>
    <w:rsid w:val="00413C25"/>
    <w:rsid w:val="00414646"/>
    <w:rsid w:val="004147F1"/>
    <w:rsid w:val="00414EC5"/>
    <w:rsid w:val="004151E2"/>
    <w:rsid w:val="00415531"/>
    <w:rsid w:val="00415860"/>
    <w:rsid w:val="00415D7C"/>
    <w:rsid w:val="00415F53"/>
    <w:rsid w:val="00416330"/>
    <w:rsid w:val="00416353"/>
    <w:rsid w:val="00416738"/>
    <w:rsid w:val="00416F77"/>
    <w:rsid w:val="004176C7"/>
    <w:rsid w:val="00417877"/>
    <w:rsid w:val="00417D9F"/>
    <w:rsid w:val="00420229"/>
    <w:rsid w:val="00420DBA"/>
    <w:rsid w:val="00421311"/>
    <w:rsid w:val="004213C9"/>
    <w:rsid w:val="00421417"/>
    <w:rsid w:val="00421871"/>
    <w:rsid w:val="004219E7"/>
    <w:rsid w:val="004229F7"/>
    <w:rsid w:val="00422A85"/>
    <w:rsid w:val="00422E13"/>
    <w:rsid w:val="00422F5F"/>
    <w:rsid w:val="0042350F"/>
    <w:rsid w:val="00423599"/>
    <w:rsid w:val="0042384C"/>
    <w:rsid w:val="00423893"/>
    <w:rsid w:val="00423BC9"/>
    <w:rsid w:val="00423CEF"/>
    <w:rsid w:val="0042416B"/>
    <w:rsid w:val="00424244"/>
    <w:rsid w:val="004245C4"/>
    <w:rsid w:val="004254CA"/>
    <w:rsid w:val="004255B4"/>
    <w:rsid w:val="00425675"/>
    <w:rsid w:val="00425950"/>
    <w:rsid w:val="00425D18"/>
    <w:rsid w:val="00426491"/>
    <w:rsid w:val="00426766"/>
    <w:rsid w:val="004267D0"/>
    <w:rsid w:val="00427545"/>
    <w:rsid w:val="004275DA"/>
    <w:rsid w:val="004279CA"/>
    <w:rsid w:val="00427A82"/>
    <w:rsid w:val="00427CEF"/>
    <w:rsid w:val="00427EA2"/>
    <w:rsid w:val="00430115"/>
    <w:rsid w:val="00430329"/>
    <w:rsid w:val="00430A4B"/>
    <w:rsid w:val="00430DCB"/>
    <w:rsid w:val="004312E0"/>
    <w:rsid w:val="00431AC7"/>
    <w:rsid w:val="00431C46"/>
    <w:rsid w:val="00431F1C"/>
    <w:rsid w:val="00432196"/>
    <w:rsid w:val="0043267E"/>
    <w:rsid w:val="004326AE"/>
    <w:rsid w:val="004327E6"/>
    <w:rsid w:val="004329DC"/>
    <w:rsid w:val="00432AC6"/>
    <w:rsid w:val="00432E8C"/>
    <w:rsid w:val="0043345D"/>
    <w:rsid w:val="00433537"/>
    <w:rsid w:val="0043371C"/>
    <w:rsid w:val="00433CA5"/>
    <w:rsid w:val="004341C6"/>
    <w:rsid w:val="0043424F"/>
    <w:rsid w:val="0043467A"/>
    <w:rsid w:val="00434C5E"/>
    <w:rsid w:val="004351C5"/>
    <w:rsid w:val="00435765"/>
    <w:rsid w:val="004360B6"/>
    <w:rsid w:val="004362E5"/>
    <w:rsid w:val="00436302"/>
    <w:rsid w:val="00436356"/>
    <w:rsid w:val="0043656E"/>
    <w:rsid w:val="00437103"/>
    <w:rsid w:val="00440722"/>
    <w:rsid w:val="004413C5"/>
    <w:rsid w:val="004425D9"/>
    <w:rsid w:val="00442C0B"/>
    <w:rsid w:val="00442FC9"/>
    <w:rsid w:val="00443244"/>
    <w:rsid w:val="0044327C"/>
    <w:rsid w:val="0044435E"/>
    <w:rsid w:val="00444AF6"/>
    <w:rsid w:val="0044519D"/>
    <w:rsid w:val="00445544"/>
    <w:rsid w:val="004455F0"/>
    <w:rsid w:val="00445C0B"/>
    <w:rsid w:val="00445F0A"/>
    <w:rsid w:val="00446195"/>
    <w:rsid w:val="00446334"/>
    <w:rsid w:val="00446715"/>
    <w:rsid w:val="00446763"/>
    <w:rsid w:val="004473DA"/>
    <w:rsid w:val="00447A8E"/>
    <w:rsid w:val="00447CD0"/>
    <w:rsid w:val="00447D3C"/>
    <w:rsid w:val="00447E26"/>
    <w:rsid w:val="00447FC2"/>
    <w:rsid w:val="00450232"/>
    <w:rsid w:val="004502B0"/>
    <w:rsid w:val="004502F4"/>
    <w:rsid w:val="004506F4"/>
    <w:rsid w:val="0045088B"/>
    <w:rsid w:val="00450999"/>
    <w:rsid w:val="004509D1"/>
    <w:rsid w:val="004509EC"/>
    <w:rsid w:val="00450A42"/>
    <w:rsid w:val="00450E98"/>
    <w:rsid w:val="004513A5"/>
    <w:rsid w:val="004514D3"/>
    <w:rsid w:val="00451848"/>
    <w:rsid w:val="00451D50"/>
    <w:rsid w:val="00452073"/>
    <w:rsid w:val="0045223B"/>
    <w:rsid w:val="00452EC4"/>
    <w:rsid w:val="00453340"/>
    <w:rsid w:val="00453695"/>
    <w:rsid w:val="00453775"/>
    <w:rsid w:val="0045380D"/>
    <w:rsid w:val="00453890"/>
    <w:rsid w:val="004539DF"/>
    <w:rsid w:val="00453AD3"/>
    <w:rsid w:val="00453B34"/>
    <w:rsid w:val="00453DA3"/>
    <w:rsid w:val="00454380"/>
    <w:rsid w:val="0045470C"/>
    <w:rsid w:val="004552C8"/>
    <w:rsid w:val="0045536C"/>
    <w:rsid w:val="00455A07"/>
    <w:rsid w:val="00455AEB"/>
    <w:rsid w:val="00455B55"/>
    <w:rsid w:val="0045603C"/>
    <w:rsid w:val="00456053"/>
    <w:rsid w:val="00456068"/>
    <w:rsid w:val="00456896"/>
    <w:rsid w:val="00456968"/>
    <w:rsid w:val="00456ADA"/>
    <w:rsid w:val="00456B0D"/>
    <w:rsid w:val="00456E90"/>
    <w:rsid w:val="00457135"/>
    <w:rsid w:val="004574E3"/>
    <w:rsid w:val="0045770D"/>
    <w:rsid w:val="0045790F"/>
    <w:rsid w:val="00457D02"/>
    <w:rsid w:val="00457D63"/>
    <w:rsid w:val="00457DF0"/>
    <w:rsid w:val="00457E21"/>
    <w:rsid w:val="00457ED7"/>
    <w:rsid w:val="0046007E"/>
    <w:rsid w:val="0046024B"/>
    <w:rsid w:val="00460E36"/>
    <w:rsid w:val="00461155"/>
    <w:rsid w:val="00461A75"/>
    <w:rsid w:val="00462036"/>
    <w:rsid w:val="0046218C"/>
    <w:rsid w:val="004623D4"/>
    <w:rsid w:val="004624A9"/>
    <w:rsid w:val="0046378C"/>
    <w:rsid w:val="00463944"/>
    <w:rsid w:val="004645FC"/>
    <w:rsid w:val="0046512A"/>
    <w:rsid w:val="00465234"/>
    <w:rsid w:val="0046526F"/>
    <w:rsid w:val="00465B24"/>
    <w:rsid w:val="00465E94"/>
    <w:rsid w:val="00465EAB"/>
    <w:rsid w:val="00466858"/>
    <w:rsid w:val="00466D0F"/>
    <w:rsid w:val="0046708C"/>
    <w:rsid w:val="00467540"/>
    <w:rsid w:val="00467544"/>
    <w:rsid w:val="00467570"/>
    <w:rsid w:val="004676A7"/>
    <w:rsid w:val="004676BA"/>
    <w:rsid w:val="0046771C"/>
    <w:rsid w:val="0046784C"/>
    <w:rsid w:val="00467ECB"/>
    <w:rsid w:val="00470BF1"/>
    <w:rsid w:val="0047105D"/>
    <w:rsid w:val="004710C3"/>
    <w:rsid w:val="0047140B"/>
    <w:rsid w:val="00471459"/>
    <w:rsid w:val="00471FD0"/>
    <w:rsid w:val="00472274"/>
    <w:rsid w:val="004722D4"/>
    <w:rsid w:val="00472332"/>
    <w:rsid w:val="00472371"/>
    <w:rsid w:val="00472388"/>
    <w:rsid w:val="004724DF"/>
    <w:rsid w:val="00472AD0"/>
    <w:rsid w:val="00472D9C"/>
    <w:rsid w:val="00472E28"/>
    <w:rsid w:val="004732A9"/>
    <w:rsid w:val="0047349E"/>
    <w:rsid w:val="00473B60"/>
    <w:rsid w:val="00473E27"/>
    <w:rsid w:val="00473F86"/>
    <w:rsid w:val="00475000"/>
    <w:rsid w:val="004753DD"/>
    <w:rsid w:val="0047553C"/>
    <w:rsid w:val="004756DD"/>
    <w:rsid w:val="00475AFF"/>
    <w:rsid w:val="00475D30"/>
    <w:rsid w:val="00475F81"/>
    <w:rsid w:val="00476060"/>
    <w:rsid w:val="00476236"/>
    <w:rsid w:val="0047631D"/>
    <w:rsid w:val="004765F4"/>
    <w:rsid w:val="00476B01"/>
    <w:rsid w:val="00476B4D"/>
    <w:rsid w:val="00476CBC"/>
    <w:rsid w:val="00476E5B"/>
    <w:rsid w:val="00476E6C"/>
    <w:rsid w:val="00477282"/>
    <w:rsid w:val="0047732F"/>
    <w:rsid w:val="00477947"/>
    <w:rsid w:val="00477C6A"/>
    <w:rsid w:val="00477DD5"/>
    <w:rsid w:val="00477E07"/>
    <w:rsid w:val="00477EA8"/>
    <w:rsid w:val="00480435"/>
    <w:rsid w:val="00480B4A"/>
    <w:rsid w:val="00480FA1"/>
    <w:rsid w:val="00481FD7"/>
    <w:rsid w:val="00482380"/>
    <w:rsid w:val="0048278C"/>
    <w:rsid w:val="00482DE5"/>
    <w:rsid w:val="004831AF"/>
    <w:rsid w:val="00483266"/>
    <w:rsid w:val="00483334"/>
    <w:rsid w:val="0048352E"/>
    <w:rsid w:val="0048364B"/>
    <w:rsid w:val="004836A9"/>
    <w:rsid w:val="00483B23"/>
    <w:rsid w:val="00483C41"/>
    <w:rsid w:val="004840D7"/>
    <w:rsid w:val="004846F4"/>
    <w:rsid w:val="00484F0B"/>
    <w:rsid w:val="00485049"/>
    <w:rsid w:val="00485A74"/>
    <w:rsid w:val="00485C26"/>
    <w:rsid w:val="00485EC0"/>
    <w:rsid w:val="00486A51"/>
    <w:rsid w:val="0048744F"/>
    <w:rsid w:val="004875E1"/>
    <w:rsid w:val="00487B37"/>
    <w:rsid w:val="00487EBF"/>
    <w:rsid w:val="00490636"/>
    <w:rsid w:val="00490FF0"/>
    <w:rsid w:val="004910FE"/>
    <w:rsid w:val="00491198"/>
    <w:rsid w:val="00491593"/>
    <w:rsid w:val="004917E0"/>
    <w:rsid w:val="00491A22"/>
    <w:rsid w:val="00491BF6"/>
    <w:rsid w:val="00491E86"/>
    <w:rsid w:val="00491FED"/>
    <w:rsid w:val="00492527"/>
    <w:rsid w:val="00492531"/>
    <w:rsid w:val="00492B4C"/>
    <w:rsid w:val="00492E47"/>
    <w:rsid w:val="00492F82"/>
    <w:rsid w:val="0049354D"/>
    <w:rsid w:val="00493B06"/>
    <w:rsid w:val="00493EC2"/>
    <w:rsid w:val="00493FA7"/>
    <w:rsid w:val="004940E4"/>
    <w:rsid w:val="00494311"/>
    <w:rsid w:val="004943C2"/>
    <w:rsid w:val="00494461"/>
    <w:rsid w:val="00494918"/>
    <w:rsid w:val="00494C65"/>
    <w:rsid w:val="00494F0C"/>
    <w:rsid w:val="004953B8"/>
    <w:rsid w:val="00495557"/>
    <w:rsid w:val="004956CA"/>
    <w:rsid w:val="00495BF1"/>
    <w:rsid w:val="0049618D"/>
    <w:rsid w:val="00496441"/>
    <w:rsid w:val="004965EF"/>
    <w:rsid w:val="004967EF"/>
    <w:rsid w:val="00496C94"/>
    <w:rsid w:val="0049719D"/>
    <w:rsid w:val="00497A2F"/>
    <w:rsid w:val="00497FCD"/>
    <w:rsid w:val="004A04C8"/>
    <w:rsid w:val="004A095C"/>
    <w:rsid w:val="004A0A0B"/>
    <w:rsid w:val="004A0D1E"/>
    <w:rsid w:val="004A0E66"/>
    <w:rsid w:val="004A0EEC"/>
    <w:rsid w:val="004A130F"/>
    <w:rsid w:val="004A17EF"/>
    <w:rsid w:val="004A1BDA"/>
    <w:rsid w:val="004A22DA"/>
    <w:rsid w:val="004A2700"/>
    <w:rsid w:val="004A2A3A"/>
    <w:rsid w:val="004A31AB"/>
    <w:rsid w:val="004A334D"/>
    <w:rsid w:val="004A36C8"/>
    <w:rsid w:val="004A3721"/>
    <w:rsid w:val="004A3742"/>
    <w:rsid w:val="004A37B8"/>
    <w:rsid w:val="004A37D1"/>
    <w:rsid w:val="004A3CC2"/>
    <w:rsid w:val="004A3ED3"/>
    <w:rsid w:val="004A47BC"/>
    <w:rsid w:val="004A4AC6"/>
    <w:rsid w:val="004A51A7"/>
    <w:rsid w:val="004A5863"/>
    <w:rsid w:val="004A5CEC"/>
    <w:rsid w:val="004A5E1E"/>
    <w:rsid w:val="004B03A7"/>
    <w:rsid w:val="004B0DAD"/>
    <w:rsid w:val="004B1199"/>
    <w:rsid w:val="004B1407"/>
    <w:rsid w:val="004B16C4"/>
    <w:rsid w:val="004B1867"/>
    <w:rsid w:val="004B1A88"/>
    <w:rsid w:val="004B22D3"/>
    <w:rsid w:val="004B2A64"/>
    <w:rsid w:val="004B2AEB"/>
    <w:rsid w:val="004B2BAC"/>
    <w:rsid w:val="004B2D52"/>
    <w:rsid w:val="004B300A"/>
    <w:rsid w:val="004B31B4"/>
    <w:rsid w:val="004B35F5"/>
    <w:rsid w:val="004B3D80"/>
    <w:rsid w:val="004B41DA"/>
    <w:rsid w:val="004B4640"/>
    <w:rsid w:val="004B470D"/>
    <w:rsid w:val="004B4764"/>
    <w:rsid w:val="004B4846"/>
    <w:rsid w:val="004B5394"/>
    <w:rsid w:val="004B5774"/>
    <w:rsid w:val="004B5AFB"/>
    <w:rsid w:val="004B5BDD"/>
    <w:rsid w:val="004B6166"/>
    <w:rsid w:val="004B6207"/>
    <w:rsid w:val="004B6308"/>
    <w:rsid w:val="004B6B3B"/>
    <w:rsid w:val="004B6E9E"/>
    <w:rsid w:val="004B6F83"/>
    <w:rsid w:val="004B744A"/>
    <w:rsid w:val="004B7B97"/>
    <w:rsid w:val="004B7C29"/>
    <w:rsid w:val="004B7F0B"/>
    <w:rsid w:val="004C011A"/>
    <w:rsid w:val="004C06E5"/>
    <w:rsid w:val="004C07C4"/>
    <w:rsid w:val="004C0A19"/>
    <w:rsid w:val="004C0BEA"/>
    <w:rsid w:val="004C133E"/>
    <w:rsid w:val="004C1A49"/>
    <w:rsid w:val="004C1B7D"/>
    <w:rsid w:val="004C1E3C"/>
    <w:rsid w:val="004C24CC"/>
    <w:rsid w:val="004C25F0"/>
    <w:rsid w:val="004C26DD"/>
    <w:rsid w:val="004C2B5D"/>
    <w:rsid w:val="004C2D68"/>
    <w:rsid w:val="004C2F56"/>
    <w:rsid w:val="004C339D"/>
    <w:rsid w:val="004C33E8"/>
    <w:rsid w:val="004C3735"/>
    <w:rsid w:val="004C4307"/>
    <w:rsid w:val="004C4309"/>
    <w:rsid w:val="004C45A7"/>
    <w:rsid w:val="004C49AE"/>
    <w:rsid w:val="004C49E0"/>
    <w:rsid w:val="004C49E3"/>
    <w:rsid w:val="004C4CE3"/>
    <w:rsid w:val="004C4E8A"/>
    <w:rsid w:val="004C4F1B"/>
    <w:rsid w:val="004C514A"/>
    <w:rsid w:val="004C52E5"/>
    <w:rsid w:val="004C537C"/>
    <w:rsid w:val="004C5A61"/>
    <w:rsid w:val="004C6050"/>
    <w:rsid w:val="004C61DD"/>
    <w:rsid w:val="004C645A"/>
    <w:rsid w:val="004C6572"/>
    <w:rsid w:val="004C6CBF"/>
    <w:rsid w:val="004C6D4F"/>
    <w:rsid w:val="004C7541"/>
    <w:rsid w:val="004C7819"/>
    <w:rsid w:val="004C7A6D"/>
    <w:rsid w:val="004D02F3"/>
    <w:rsid w:val="004D0678"/>
    <w:rsid w:val="004D0CD8"/>
    <w:rsid w:val="004D1018"/>
    <w:rsid w:val="004D1111"/>
    <w:rsid w:val="004D18BC"/>
    <w:rsid w:val="004D1E71"/>
    <w:rsid w:val="004D20EB"/>
    <w:rsid w:val="004D23A4"/>
    <w:rsid w:val="004D27A9"/>
    <w:rsid w:val="004D2A8C"/>
    <w:rsid w:val="004D2CDF"/>
    <w:rsid w:val="004D2D12"/>
    <w:rsid w:val="004D3149"/>
    <w:rsid w:val="004D33CE"/>
    <w:rsid w:val="004D3967"/>
    <w:rsid w:val="004D3E81"/>
    <w:rsid w:val="004D4AAE"/>
    <w:rsid w:val="004D4B17"/>
    <w:rsid w:val="004D5B5A"/>
    <w:rsid w:val="004D6040"/>
    <w:rsid w:val="004D607A"/>
    <w:rsid w:val="004D6F9C"/>
    <w:rsid w:val="004D714B"/>
    <w:rsid w:val="004D7C86"/>
    <w:rsid w:val="004E0197"/>
    <w:rsid w:val="004E0691"/>
    <w:rsid w:val="004E0857"/>
    <w:rsid w:val="004E09BF"/>
    <w:rsid w:val="004E0D9D"/>
    <w:rsid w:val="004E1122"/>
    <w:rsid w:val="004E11C3"/>
    <w:rsid w:val="004E1409"/>
    <w:rsid w:val="004E150E"/>
    <w:rsid w:val="004E1A87"/>
    <w:rsid w:val="004E1BB0"/>
    <w:rsid w:val="004E23E3"/>
    <w:rsid w:val="004E2A3D"/>
    <w:rsid w:val="004E2AD0"/>
    <w:rsid w:val="004E3030"/>
    <w:rsid w:val="004E3311"/>
    <w:rsid w:val="004E3503"/>
    <w:rsid w:val="004E38EC"/>
    <w:rsid w:val="004E3933"/>
    <w:rsid w:val="004E3E1A"/>
    <w:rsid w:val="004E3F54"/>
    <w:rsid w:val="004E41E2"/>
    <w:rsid w:val="004E4549"/>
    <w:rsid w:val="004E4B6A"/>
    <w:rsid w:val="004E4C83"/>
    <w:rsid w:val="004E4D53"/>
    <w:rsid w:val="004E4D84"/>
    <w:rsid w:val="004E4EBC"/>
    <w:rsid w:val="004E5104"/>
    <w:rsid w:val="004E527E"/>
    <w:rsid w:val="004E578B"/>
    <w:rsid w:val="004E57F5"/>
    <w:rsid w:val="004E5B06"/>
    <w:rsid w:val="004E5C8F"/>
    <w:rsid w:val="004E5F3D"/>
    <w:rsid w:val="004E5FA8"/>
    <w:rsid w:val="004E617C"/>
    <w:rsid w:val="004E684C"/>
    <w:rsid w:val="004E6FF1"/>
    <w:rsid w:val="004E76DB"/>
    <w:rsid w:val="004E7CEA"/>
    <w:rsid w:val="004E7F3C"/>
    <w:rsid w:val="004F0000"/>
    <w:rsid w:val="004F0144"/>
    <w:rsid w:val="004F0333"/>
    <w:rsid w:val="004F0B89"/>
    <w:rsid w:val="004F1F90"/>
    <w:rsid w:val="004F2401"/>
    <w:rsid w:val="004F2A44"/>
    <w:rsid w:val="004F2B59"/>
    <w:rsid w:val="004F2C0A"/>
    <w:rsid w:val="004F2DAD"/>
    <w:rsid w:val="004F34F7"/>
    <w:rsid w:val="004F49B7"/>
    <w:rsid w:val="004F5069"/>
    <w:rsid w:val="004F528B"/>
    <w:rsid w:val="004F5369"/>
    <w:rsid w:val="004F55D6"/>
    <w:rsid w:val="004F565A"/>
    <w:rsid w:val="004F566A"/>
    <w:rsid w:val="004F571B"/>
    <w:rsid w:val="004F57A3"/>
    <w:rsid w:val="004F5DED"/>
    <w:rsid w:val="004F64EB"/>
    <w:rsid w:val="004F6BD4"/>
    <w:rsid w:val="004F78F6"/>
    <w:rsid w:val="004F7A74"/>
    <w:rsid w:val="00500250"/>
    <w:rsid w:val="00500264"/>
    <w:rsid w:val="005003E9"/>
    <w:rsid w:val="00500576"/>
    <w:rsid w:val="00500824"/>
    <w:rsid w:val="00500B6E"/>
    <w:rsid w:val="00500DAB"/>
    <w:rsid w:val="00501144"/>
    <w:rsid w:val="005013EF"/>
    <w:rsid w:val="005016CC"/>
    <w:rsid w:val="005019E0"/>
    <w:rsid w:val="00501AD4"/>
    <w:rsid w:val="00501DF9"/>
    <w:rsid w:val="0050211F"/>
    <w:rsid w:val="005022E7"/>
    <w:rsid w:val="00502713"/>
    <w:rsid w:val="00502A93"/>
    <w:rsid w:val="00502D57"/>
    <w:rsid w:val="00503208"/>
    <w:rsid w:val="005038D4"/>
    <w:rsid w:val="00503EB7"/>
    <w:rsid w:val="005046FB"/>
    <w:rsid w:val="00504918"/>
    <w:rsid w:val="00504B8C"/>
    <w:rsid w:val="00505982"/>
    <w:rsid w:val="00505D3F"/>
    <w:rsid w:val="00505D9D"/>
    <w:rsid w:val="00506083"/>
    <w:rsid w:val="005068D6"/>
    <w:rsid w:val="00506B86"/>
    <w:rsid w:val="00506EEC"/>
    <w:rsid w:val="00506F57"/>
    <w:rsid w:val="00506FD4"/>
    <w:rsid w:val="00507390"/>
    <w:rsid w:val="005075B6"/>
    <w:rsid w:val="00507AAC"/>
    <w:rsid w:val="00507D5B"/>
    <w:rsid w:val="00507F24"/>
    <w:rsid w:val="005107FF"/>
    <w:rsid w:val="00510CBC"/>
    <w:rsid w:val="0051102D"/>
    <w:rsid w:val="00511223"/>
    <w:rsid w:val="005112A5"/>
    <w:rsid w:val="005113D9"/>
    <w:rsid w:val="00511604"/>
    <w:rsid w:val="00511F48"/>
    <w:rsid w:val="00512448"/>
    <w:rsid w:val="0051253A"/>
    <w:rsid w:val="0051266C"/>
    <w:rsid w:val="00513422"/>
    <w:rsid w:val="00513B72"/>
    <w:rsid w:val="005142B2"/>
    <w:rsid w:val="005143EC"/>
    <w:rsid w:val="00514431"/>
    <w:rsid w:val="005145C1"/>
    <w:rsid w:val="00514689"/>
    <w:rsid w:val="00515277"/>
    <w:rsid w:val="005158C2"/>
    <w:rsid w:val="00515A85"/>
    <w:rsid w:val="005161CB"/>
    <w:rsid w:val="0051632F"/>
    <w:rsid w:val="005164D4"/>
    <w:rsid w:val="005167F0"/>
    <w:rsid w:val="005168DB"/>
    <w:rsid w:val="00516966"/>
    <w:rsid w:val="005169DE"/>
    <w:rsid w:val="00516CA4"/>
    <w:rsid w:val="0051754D"/>
    <w:rsid w:val="0051785D"/>
    <w:rsid w:val="00517913"/>
    <w:rsid w:val="00517964"/>
    <w:rsid w:val="00517B2F"/>
    <w:rsid w:val="00517CAB"/>
    <w:rsid w:val="0052005F"/>
    <w:rsid w:val="00520200"/>
    <w:rsid w:val="0052040B"/>
    <w:rsid w:val="00520CE7"/>
    <w:rsid w:val="00520D56"/>
    <w:rsid w:val="00520E2D"/>
    <w:rsid w:val="00520F04"/>
    <w:rsid w:val="00520F91"/>
    <w:rsid w:val="005215D0"/>
    <w:rsid w:val="00521717"/>
    <w:rsid w:val="005220D5"/>
    <w:rsid w:val="0052226F"/>
    <w:rsid w:val="005224B2"/>
    <w:rsid w:val="005234E5"/>
    <w:rsid w:val="00523B23"/>
    <w:rsid w:val="00523DFA"/>
    <w:rsid w:val="0052416D"/>
    <w:rsid w:val="005254BC"/>
    <w:rsid w:val="005256FC"/>
    <w:rsid w:val="0052581E"/>
    <w:rsid w:val="00525B2C"/>
    <w:rsid w:val="00525E65"/>
    <w:rsid w:val="005268E3"/>
    <w:rsid w:val="00526C27"/>
    <w:rsid w:val="00526DFF"/>
    <w:rsid w:val="00526EFD"/>
    <w:rsid w:val="00527473"/>
    <w:rsid w:val="00527EF9"/>
    <w:rsid w:val="005305AC"/>
    <w:rsid w:val="005305FF"/>
    <w:rsid w:val="00530851"/>
    <w:rsid w:val="00530C2D"/>
    <w:rsid w:val="00530C9B"/>
    <w:rsid w:val="00530E34"/>
    <w:rsid w:val="00530EB7"/>
    <w:rsid w:val="00531181"/>
    <w:rsid w:val="00532334"/>
    <w:rsid w:val="0053240C"/>
    <w:rsid w:val="005324AF"/>
    <w:rsid w:val="00532B79"/>
    <w:rsid w:val="00533148"/>
    <w:rsid w:val="00533EAC"/>
    <w:rsid w:val="0053402C"/>
    <w:rsid w:val="00534090"/>
    <w:rsid w:val="00534530"/>
    <w:rsid w:val="0053476B"/>
    <w:rsid w:val="005348CE"/>
    <w:rsid w:val="00534ABA"/>
    <w:rsid w:val="0053534D"/>
    <w:rsid w:val="00535497"/>
    <w:rsid w:val="00535997"/>
    <w:rsid w:val="00535D28"/>
    <w:rsid w:val="00535FA7"/>
    <w:rsid w:val="00535FFF"/>
    <w:rsid w:val="00536052"/>
    <w:rsid w:val="005360A4"/>
    <w:rsid w:val="0053616F"/>
    <w:rsid w:val="005362C3"/>
    <w:rsid w:val="00536302"/>
    <w:rsid w:val="00536365"/>
    <w:rsid w:val="005368AD"/>
    <w:rsid w:val="00536E8E"/>
    <w:rsid w:val="00536EB1"/>
    <w:rsid w:val="005370BC"/>
    <w:rsid w:val="0053752B"/>
    <w:rsid w:val="00537B35"/>
    <w:rsid w:val="00537DE7"/>
    <w:rsid w:val="00537EC4"/>
    <w:rsid w:val="00537FE4"/>
    <w:rsid w:val="0054027D"/>
    <w:rsid w:val="00540573"/>
    <w:rsid w:val="0054092B"/>
    <w:rsid w:val="00540B69"/>
    <w:rsid w:val="00541222"/>
    <w:rsid w:val="00541A8D"/>
    <w:rsid w:val="005421B2"/>
    <w:rsid w:val="005422E7"/>
    <w:rsid w:val="00542B5D"/>
    <w:rsid w:val="00542DBB"/>
    <w:rsid w:val="005434C5"/>
    <w:rsid w:val="005438E0"/>
    <w:rsid w:val="005443FE"/>
    <w:rsid w:val="00544D79"/>
    <w:rsid w:val="00544DA0"/>
    <w:rsid w:val="00544EE2"/>
    <w:rsid w:val="00545337"/>
    <w:rsid w:val="005454BD"/>
    <w:rsid w:val="005457E4"/>
    <w:rsid w:val="00545CB6"/>
    <w:rsid w:val="00545EED"/>
    <w:rsid w:val="005461A1"/>
    <w:rsid w:val="005461BB"/>
    <w:rsid w:val="0054633F"/>
    <w:rsid w:val="00546AE0"/>
    <w:rsid w:val="00546C2B"/>
    <w:rsid w:val="00546C49"/>
    <w:rsid w:val="005479F3"/>
    <w:rsid w:val="00547C52"/>
    <w:rsid w:val="0055010B"/>
    <w:rsid w:val="00550783"/>
    <w:rsid w:val="005507F9"/>
    <w:rsid w:val="00550B80"/>
    <w:rsid w:val="00550BE7"/>
    <w:rsid w:val="00550D59"/>
    <w:rsid w:val="00550D6D"/>
    <w:rsid w:val="00550E1C"/>
    <w:rsid w:val="0055110D"/>
    <w:rsid w:val="005514AF"/>
    <w:rsid w:val="00551F81"/>
    <w:rsid w:val="0055210F"/>
    <w:rsid w:val="00552627"/>
    <w:rsid w:val="00552CD7"/>
    <w:rsid w:val="005533BE"/>
    <w:rsid w:val="00553484"/>
    <w:rsid w:val="0055394D"/>
    <w:rsid w:val="00553D57"/>
    <w:rsid w:val="005542DA"/>
    <w:rsid w:val="00554602"/>
    <w:rsid w:val="00554B03"/>
    <w:rsid w:val="00554B30"/>
    <w:rsid w:val="00554CAE"/>
    <w:rsid w:val="00554EEA"/>
    <w:rsid w:val="00554EFF"/>
    <w:rsid w:val="00554FFB"/>
    <w:rsid w:val="005552D8"/>
    <w:rsid w:val="00555565"/>
    <w:rsid w:val="005559DD"/>
    <w:rsid w:val="00555AFA"/>
    <w:rsid w:val="00556472"/>
    <w:rsid w:val="005568DE"/>
    <w:rsid w:val="00556D4E"/>
    <w:rsid w:val="00556FFD"/>
    <w:rsid w:val="0055702F"/>
    <w:rsid w:val="005575AB"/>
    <w:rsid w:val="0055765F"/>
    <w:rsid w:val="00557C50"/>
    <w:rsid w:val="00557EC0"/>
    <w:rsid w:val="005604BD"/>
    <w:rsid w:val="005606B6"/>
    <w:rsid w:val="005608D6"/>
    <w:rsid w:val="00560AC5"/>
    <w:rsid w:val="00560F19"/>
    <w:rsid w:val="005613F6"/>
    <w:rsid w:val="00561431"/>
    <w:rsid w:val="005614AA"/>
    <w:rsid w:val="005616D7"/>
    <w:rsid w:val="005616F4"/>
    <w:rsid w:val="00561E6B"/>
    <w:rsid w:val="005621D2"/>
    <w:rsid w:val="005621E0"/>
    <w:rsid w:val="0056254F"/>
    <w:rsid w:val="0056287B"/>
    <w:rsid w:val="00562A66"/>
    <w:rsid w:val="00562D90"/>
    <w:rsid w:val="00563317"/>
    <w:rsid w:val="00563A23"/>
    <w:rsid w:val="00563A5A"/>
    <w:rsid w:val="00563B43"/>
    <w:rsid w:val="00563C61"/>
    <w:rsid w:val="00563E4A"/>
    <w:rsid w:val="00563ECB"/>
    <w:rsid w:val="00563F47"/>
    <w:rsid w:val="005640BB"/>
    <w:rsid w:val="005641AB"/>
    <w:rsid w:val="005641C2"/>
    <w:rsid w:val="005647D5"/>
    <w:rsid w:val="00564C23"/>
    <w:rsid w:val="00564C48"/>
    <w:rsid w:val="00564C6A"/>
    <w:rsid w:val="00564E5C"/>
    <w:rsid w:val="00564FF6"/>
    <w:rsid w:val="00565027"/>
    <w:rsid w:val="00565247"/>
    <w:rsid w:val="005653D8"/>
    <w:rsid w:val="005653DD"/>
    <w:rsid w:val="00565406"/>
    <w:rsid w:val="005654E7"/>
    <w:rsid w:val="00565570"/>
    <w:rsid w:val="005657DD"/>
    <w:rsid w:val="005659F7"/>
    <w:rsid w:val="00565A24"/>
    <w:rsid w:val="00565B29"/>
    <w:rsid w:val="00565D19"/>
    <w:rsid w:val="00565E48"/>
    <w:rsid w:val="005664CC"/>
    <w:rsid w:val="0056664B"/>
    <w:rsid w:val="005668A0"/>
    <w:rsid w:val="00566A44"/>
    <w:rsid w:val="0056741F"/>
    <w:rsid w:val="005674E9"/>
    <w:rsid w:val="005674FA"/>
    <w:rsid w:val="00567588"/>
    <w:rsid w:val="005675EC"/>
    <w:rsid w:val="00567839"/>
    <w:rsid w:val="00567992"/>
    <w:rsid w:val="00567C3C"/>
    <w:rsid w:val="00567D92"/>
    <w:rsid w:val="0057017D"/>
    <w:rsid w:val="005702F8"/>
    <w:rsid w:val="00570358"/>
    <w:rsid w:val="005710C1"/>
    <w:rsid w:val="00571231"/>
    <w:rsid w:val="00571767"/>
    <w:rsid w:val="00571A7D"/>
    <w:rsid w:val="00571E44"/>
    <w:rsid w:val="00572549"/>
    <w:rsid w:val="00572DE6"/>
    <w:rsid w:val="005731A8"/>
    <w:rsid w:val="005739C2"/>
    <w:rsid w:val="00573E61"/>
    <w:rsid w:val="0057411B"/>
    <w:rsid w:val="00574525"/>
    <w:rsid w:val="00574778"/>
    <w:rsid w:val="0057498F"/>
    <w:rsid w:val="00574DE9"/>
    <w:rsid w:val="00575A90"/>
    <w:rsid w:val="00575DF4"/>
    <w:rsid w:val="00575FAB"/>
    <w:rsid w:val="00576D49"/>
    <w:rsid w:val="00576FAF"/>
    <w:rsid w:val="0057736C"/>
    <w:rsid w:val="0057765D"/>
    <w:rsid w:val="0057768B"/>
    <w:rsid w:val="005777FC"/>
    <w:rsid w:val="00577ECE"/>
    <w:rsid w:val="005806AD"/>
    <w:rsid w:val="005807C1"/>
    <w:rsid w:val="005808EB"/>
    <w:rsid w:val="005809F8"/>
    <w:rsid w:val="00580C7F"/>
    <w:rsid w:val="00580D37"/>
    <w:rsid w:val="00581766"/>
    <w:rsid w:val="005819FC"/>
    <w:rsid w:val="00581E5D"/>
    <w:rsid w:val="00581FA0"/>
    <w:rsid w:val="00582B90"/>
    <w:rsid w:val="00583134"/>
    <w:rsid w:val="005831A7"/>
    <w:rsid w:val="00583321"/>
    <w:rsid w:val="0058341E"/>
    <w:rsid w:val="00583CE7"/>
    <w:rsid w:val="00584350"/>
    <w:rsid w:val="005843E5"/>
    <w:rsid w:val="00584F3A"/>
    <w:rsid w:val="005853AB"/>
    <w:rsid w:val="00585748"/>
    <w:rsid w:val="005859C5"/>
    <w:rsid w:val="00585C79"/>
    <w:rsid w:val="00585D41"/>
    <w:rsid w:val="00585EE9"/>
    <w:rsid w:val="00585FD0"/>
    <w:rsid w:val="00586144"/>
    <w:rsid w:val="00586A47"/>
    <w:rsid w:val="00586B51"/>
    <w:rsid w:val="00587185"/>
    <w:rsid w:val="005873C4"/>
    <w:rsid w:val="00587785"/>
    <w:rsid w:val="0058788D"/>
    <w:rsid w:val="00587B7D"/>
    <w:rsid w:val="00587CCF"/>
    <w:rsid w:val="00587E29"/>
    <w:rsid w:val="00587F21"/>
    <w:rsid w:val="00587F92"/>
    <w:rsid w:val="00587FE6"/>
    <w:rsid w:val="0059003F"/>
    <w:rsid w:val="0059040D"/>
    <w:rsid w:val="00590B10"/>
    <w:rsid w:val="00591698"/>
    <w:rsid w:val="0059183C"/>
    <w:rsid w:val="00591B3D"/>
    <w:rsid w:val="00592D37"/>
    <w:rsid w:val="00592E4A"/>
    <w:rsid w:val="00592F1A"/>
    <w:rsid w:val="00593833"/>
    <w:rsid w:val="00593B1F"/>
    <w:rsid w:val="00593B87"/>
    <w:rsid w:val="00593C1C"/>
    <w:rsid w:val="00593DB6"/>
    <w:rsid w:val="00593E94"/>
    <w:rsid w:val="00593F7B"/>
    <w:rsid w:val="00593FEE"/>
    <w:rsid w:val="00594143"/>
    <w:rsid w:val="00594543"/>
    <w:rsid w:val="00594612"/>
    <w:rsid w:val="00595873"/>
    <w:rsid w:val="00595B89"/>
    <w:rsid w:val="00595CDD"/>
    <w:rsid w:val="00595F07"/>
    <w:rsid w:val="00595F39"/>
    <w:rsid w:val="00596066"/>
    <w:rsid w:val="005964BB"/>
    <w:rsid w:val="00596509"/>
    <w:rsid w:val="00596536"/>
    <w:rsid w:val="00596A70"/>
    <w:rsid w:val="00596BD3"/>
    <w:rsid w:val="00596BE7"/>
    <w:rsid w:val="00596C03"/>
    <w:rsid w:val="00596C3E"/>
    <w:rsid w:val="00596DC2"/>
    <w:rsid w:val="0059721C"/>
    <w:rsid w:val="005977DD"/>
    <w:rsid w:val="005A0498"/>
    <w:rsid w:val="005A04BD"/>
    <w:rsid w:val="005A0669"/>
    <w:rsid w:val="005A0A3F"/>
    <w:rsid w:val="005A114F"/>
    <w:rsid w:val="005A15C6"/>
    <w:rsid w:val="005A16FF"/>
    <w:rsid w:val="005A1F49"/>
    <w:rsid w:val="005A2364"/>
    <w:rsid w:val="005A2480"/>
    <w:rsid w:val="005A2549"/>
    <w:rsid w:val="005A296B"/>
    <w:rsid w:val="005A2B2C"/>
    <w:rsid w:val="005A2D6B"/>
    <w:rsid w:val="005A3191"/>
    <w:rsid w:val="005A3252"/>
    <w:rsid w:val="005A33F7"/>
    <w:rsid w:val="005A3806"/>
    <w:rsid w:val="005A40CF"/>
    <w:rsid w:val="005A4372"/>
    <w:rsid w:val="005A4633"/>
    <w:rsid w:val="005A4714"/>
    <w:rsid w:val="005A4A9C"/>
    <w:rsid w:val="005A4BAE"/>
    <w:rsid w:val="005A4F39"/>
    <w:rsid w:val="005A574D"/>
    <w:rsid w:val="005A587A"/>
    <w:rsid w:val="005A5B5C"/>
    <w:rsid w:val="005A615C"/>
    <w:rsid w:val="005A6AA2"/>
    <w:rsid w:val="005A6CEE"/>
    <w:rsid w:val="005A6E93"/>
    <w:rsid w:val="005A707A"/>
    <w:rsid w:val="005A728E"/>
    <w:rsid w:val="005A7340"/>
    <w:rsid w:val="005A799B"/>
    <w:rsid w:val="005A7F85"/>
    <w:rsid w:val="005A7F93"/>
    <w:rsid w:val="005B07EA"/>
    <w:rsid w:val="005B0B20"/>
    <w:rsid w:val="005B0BD6"/>
    <w:rsid w:val="005B0EFB"/>
    <w:rsid w:val="005B1060"/>
    <w:rsid w:val="005B12B9"/>
    <w:rsid w:val="005B17C1"/>
    <w:rsid w:val="005B199B"/>
    <w:rsid w:val="005B20C0"/>
    <w:rsid w:val="005B27F1"/>
    <w:rsid w:val="005B2DA4"/>
    <w:rsid w:val="005B324F"/>
    <w:rsid w:val="005B3737"/>
    <w:rsid w:val="005B3A42"/>
    <w:rsid w:val="005B44C2"/>
    <w:rsid w:val="005B4B81"/>
    <w:rsid w:val="005B4E65"/>
    <w:rsid w:val="005B50D0"/>
    <w:rsid w:val="005B54AB"/>
    <w:rsid w:val="005B56F2"/>
    <w:rsid w:val="005B5D40"/>
    <w:rsid w:val="005B5EFC"/>
    <w:rsid w:val="005B6412"/>
    <w:rsid w:val="005B6698"/>
    <w:rsid w:val="005B6862"/>
    <w:rsid w:val="005B68A7"/>
    <w:rsid w:val="005B695C"/>
    <w:rsid w:val="005B6AC3"/>
    <w:rsid w:val="005B7778"/>
    <w:rsid w:val="005B7A55"/>
    <w:rsid w:val="005B7C99"/>
    <w:rsid w:val="005C055E"/>
    <w:rsid w:val="005C0D2E"/>
    <w:rsid w:val="005C0FA1"/>
    <w:rsid w:val="005C1615"/>
    <w:rsid w:val="005C161D"/>
    <w:rsid w:val="005C186F"/>
    <w:rsid w:val="005C1D30"/>
    <w:rsid w:val="005C1D98"/>
    <w:rsid w:val="005C1DA5"/>
    <w:rsid w:val="005C1E7B"/>
    <w:rsid w:val="005C2559"/>
    <w:rsid w:val="005C2873"/>
    <w:rsid w:val="005C3112"/>
    <w:rsid w:val="005C3135"/>
    <w:rsid w:val="005C34FC"/>
    <w:rsid w:val="005C36E9"/>
    <w:rsid w:val="005C38A6"/>
    <w:rsid w:val="005C3AAD"/>
    <w:rsid w:val="005C3B5C"/>
    <w:rsid w:val="005C3C7F"/>
    <w:rsid w:val="005C3DD3"/>
    <w:rsid w:val="005C442C"/>
    <w:rsid w:val="005C49F3"/>
    <w:rsid w:val="005C4EAA"/>
    <w:rsid w:val="005C5143"/>
    <w:rsid w:val="005C517B"/>
    <w:rsid w:val="005C5639"/>
    <w:rsid w:val="005C5742"/>
    <w:rsid w:val="005C6C38"/>
    <w:rsid w:val="005C6CA5"/>
    <w:rsid w:val="005C760E"/>
    <w:rsid w:val="005C7E9E"/>
    <w:rsid w:val="005D065C"/>
    <w:rsid w:val="005D1531"/>
    <w:rsid w:val="005D176A"/>
    <w:rsid w:val="005D177E"/>
    <w:rsid w:val="005D18C9"/>
    <w:rsid w:val="005D1B72"/>
    <w:rsid w:val="005D1E25"/>
    <w:rsid w:val="005D2471"/>
    <w:rsid w:val="005D25A3"/>
    <w:rsid w:val="005D2779"/>
    <w:rsid w:val="005D2C1A"/>
    <w:rsid w:val="005D3242"/>
    <w:rsid w:val="005D3391"/>
    <w:rsid w:val="005D370E"/>
    <w:rsid w:val="005D37B9"/>
    <w:rsid w:val="005D394C"/>
    <w:rsid w:val="005D3E28"/>
    <w:rsid w:val="005D46E8"/>
    <w:rsid w:val="005D4C62"/>
    <w:rsid w:val="005D585D"/>
    <w:rsid w:val="005D5A2E"/>
    <w:rsid w:val="005D604B"/>
    <w:rsid w:val="005D610C"/>
    <w:rsid w:val="005D661E"/>
    <w:rsid w:val="005D6888"/>
    <w:rsid w:val="005D6B04"/>
    <w:rsid w:val="005D71C0"/>
    <w:rsid w:val="005D72AD"/>
    <w:rsid w:val="005D74E7"/>
    <w:rsid w:val="005D781F"/>
    <w:rsid w:val="005D7C64"/>
    <w:rsid w:val="005D7F7B"/>
    <w:rsid w:val="005E190D"/>
    <w:rsid w:val="005E2958"/>
    <w:rsid w:val="005E2DF0"/>
    <w:rsid w:val="005E3498"/>
    <w:rsid w:val="005E36E7"/>
    <w:rsid w:val="005E3BCD"/>
    <w:rsid w:val="005E3DBD"/>
    <w:rsid w:val="005E47C0"/>
    <w:rsid w:val="005E4A87"/>
    <w:rsid w:val="005E4DA5"/>
    <w:rsid w:val="005E4FC2"/>
    <w:rsid w:val="005E503E"/>
    <w:rsid w:val="005E528A"/>
    <w:rsid w:val="005E59C7"/>
    <w:rsid w:val="005E5C61"/>
    <w:rsid w:val="005E5E7B"/>
    <w:rsid w:val="005E6095"/>
    <w:rsid w:val="005E67C8"/>
    <w:rsid w:val="005E6972"/>
    <w:rsid w:val="005E6A3F"/>
    <w:rsid w:val="005E6D84"/>
    <w:rsid w:val="005E6DB8"/>
    <w:rsid w:val="005E7228"/>
    <w:rsid w:val="005E7258"/>
    <w:rsid w:val="005E7284"/>
    <w:rsid w:val="005E7BAC"/>
    <w:rsid w:val="005F0D62"/>
    <w:rsid w:val="005F0E5C"/>
    <w:rsid w:val="005F0EEF"/>
    <w:rsid w:val="005F1225"/>
    <w:rsid w:val="005F1253"/>
    <w:rsid w:val="005F12FB"/>
    <w:rsid w:val="005F134E"/>
    <w:rsid w:val="005F1365"/>
    <w:rsid w:val="005F1468"/>
    <w:rsid w:val="005F1E5F"/>
    <w:rsid w:val="005F254C"/>
    <w:rsid w:val="005F2C1F"/>
    <w:rsid w:val="005F2E44"/>
    <w:rsid w:val="005F365A"/>
    <w:rsid w:val="005F3690"/>
    <w:rsid w:val="005F3986"/>
    <w:rsid w:val="005F3F2A"/>
    <w:rsid w:val="005F41E4"/>
    <w:rsid w:val="005F4C57"/>
    <w:rsid w:val="005F55A6"/>
    <w:rsid w:val="005F6774"/>
    <w:rsid w:val="005F7016"/>
    <w:rsid w:val="005F79AA"/>
    <w:rsid w:val="0060004C"/>
    <w:rsid w:val="006001C7"/>
    <w:rsid w:val="0060044B"/>
    <w:rsid w:val="00600AFA"/>
    <w:rsid w:val="006013D3"/>
    <w:rsid w:val="006013D7"/>
    <w:rsid w:val="006014DB"/>
    <w:rsid w:val="00601587"/>
    <w:rsid w:val="00601FB1"/>
    <w:rsid w:val="00602079"/>
    <w:rsid w:val="006022F3"/>
    <w:rsid w:val="00602510"/>
    <w:rsid w:val="00602579"/>
    <w:rsid w:val="00602BA4"/>
    <w:rsid w:val="00602DA2"/>
    <w:rsid w:val="00602FF4"/>
    <w:rsid w:val="00603228"/>
    <w:rsid w:val="00603BE7"/>
    <w:rsid w:val="00604ACD"/>
    <w:rsid w:val="00604C15"/>
    <w:rsid w:val="00604DC2"/>
    <w:rsid w:val="006060C4"/>
    <w:rsid w:val="006063B2"/>
    <w:rsid w:val="00606418"/>
    <w:rsid w:val="00607C35"/>
    <w:rsid w:val="00610E25"/>
    <w:rsid w:val="00611677"/>
    <w:rsid w:val="00611777"/>
    <w:rsid w:val="0061189F"/>
    <w:rsid w:val="00611CC1"/>
    <w:rsid w:val="0061219B"/>
    <w:rsid w:val="00612C51"/>
    <w:rsid w:val="00612D05"/>
    <w:rsid w:val="00612D2A"/>
    <w:rsid w:val="006130B5"/>
    <w:rsid w:val="00613202"/>
    <w:rsid w:val="00613712"/>
    <w:rsid w:val="00613FB6"/>
    <w:rsid w:val="006140C6"/>
    <w:rsid w:val="00614134"/>
    <w:rsid w:val="00614241"/>
    <w:rsid w:val="0061428D"/>
    <w:rsid w:val="0061473C"/>
    <w:rsid w:val="006147A1"/>
    <w:rsid w:val="00614A27"/>
    <w:rsid w:val="00614C43"/>
    <w:rsid w:val="00614F82"/>
    <w:rsid w:val="006151BD"/>
    <w:rsid w:val="00615411"/>
    <w:rsid w:val="00615744"/>
    <w:rsid w:val="0061599E"/>
    <w:rsid w:val="00615AC7"/>
    <w:rsid w:val="006160C9"/>
    <w:rsid w:val="006162E6"/>
    <w:rsid w:val="006171A5"/>
    <w:rsid w:val="0061769E"/>
    <w:rsid w:val="00617F60"/>
    <w:rsid w:val="00620146"/>
    <w:rsid w:val="006201A8"/>
    <w:rsid w:val="00620309"/>
    <w:rsid w:val="00620BA2"/>
    <w:rsid w:val="0062159D"/>
    <w:rsid w:val="00621680"/>
    <w:rsid w:val="006219A0"/>
    <w:rsid w:val="00621C99"/>
    <w:rsid w:val="00621D9C"/>
    <w:rsid w:val="00621E2D"/>
    <w:rsid w:val="00621EC5"/>
    <w:rsid w:val="006223E0"/>
    <w:rsid w:val="006224D0"/>
    <w:rsid w:val="006226A3"/>
    <w:rsid w:val="006229C7"/>
    <w:rsid w:val="00622BCE"/>
    <w:rsid w:val="00622C02"/>
    <w:rsid w:val="00622E29"/>
    <w:rsid w:val="00623643"/>
    <w:rsid w:val="00624018"/>
    <w:rsid w:val="006240C4"/>
    <w:rsid w:val="00624B3C"/>
    <w:rsid w:val="00624F27"/>
    <w:rsid w:val="006252C2"/>
    <w:rsid w:val="00625304"/>
    <w:rsid w:val="0062570F"/>
    <w:rsid w:val="0062581B"/>
    <w:rsid w:val="006261F4"/>
    <w:rsid w:val="00627832"/>
    <w:rsid w:val="00627EC6"/>
    <w:rsid w:val="006301AC"/>
    <w:rsid w:val="00630676"/>
    <w:rsid w:val="00630CF2"/>
    <w:rsid w:val="0063125B"/>
    <w:rsid w:val="0063164E"/>
    <w:rsid w:val="0063191D"/>
    <w:rsid w:val="00631938"/>
    <w:rsid w:val="006321A9"/>
    <w:rsid w:val="006325D5"/>
    <w:rsid w:val="00632DBC"/>
    <w:rsid w:val="00633488"/>
    <w:rsid w:val="00633560"/>
    <w:rsid w:val="00633581"/>
    <w:rsid w:val="0063374A"/>
    <w:rsid w:val="006339AF"/>
    <w:rsid w:val="00633C47"/>
    <w:rsid w:val="006348F7"/>
    <w:rsid w:val="0063512D"/>
    <w:rsid w:val="00635435"/>
    <w:rsid w:val="006358FB"/>
    <w:rsid w:val="00635AE2"/>
    <w:rsid w:val="00635B85"/>
    <w:rsid w:val="00635E1E"/>
    <w:rsid w:val="00635F50"/>
    <w:rsid w:val="00636400"/>
    <w:rsid w:val="006366C1"/>
    <w:rsid w:val="00636769"/>
    <w:rsid w:val="0063677C"/>
    <w:rsid w:val="00636972"/>
    <w:rsid w:val="00636B69"/>
    <w:rsid w:val="00636BC2"/>
    <w:rsid w:val="00636BF4"/>
    <w:rsid w:val="00636D46"/>
    <w:rsid w:val="00637423"/>
    <w:rsid w:val="00637DD5"/>
    <w:rsid w:val="006404B1"/>
    <w:rsid w:val="006404D1"/>
    <w:rsid w:val="00640F43"/>
    <w:rsid w:val="006412CA"/>
    <w:rsid w:val="00641426"/>
    <w:rsid w:val="006418F6"/>
    <w:rsid w:val="00641A56"/>
    <w:rsid w:val="00641AD8"/>
    <w:rsid w:val="00641E47"/>
    <w:rsid w:val="006420DA"/>
    <w:rsid w:val="006426D4"/>
    <w:rsid w:val="006426F7"/>
    <w:rsid w:val="00642A0A"/>
    <w:rsid w:val="00642F34"/>
    <w:rsid w:val="00643AC1"/>
    <w:rsid w:val="00643D62"/>
    <w:rsid w:val="00644078"/>
    <w:rsid w:val="006449A3"/>
    <w:rsid w:val="00644A5E"/>
    <w:rsid w:val="00644A6C"/>
    <w:rsid w:val="00644CE1"/>
    <w:rsid w:val="00644D69"/>
    <w:rsid w:val="00645753"/>
    <w:rsid w:val="006457A8"/>
    <w:rsid w:val="00645EA0"/>
    <w:rsid w:val="00645F76"/>
    <w:rsid w:val="00646374"/>
    <w:rsid w:val="006465C2"/>
    <w:rsid w:val="0064662C"/>
    <w:rsid w:val="00646C69"/>
    <w:rsid w:val="00646EB0"/>
    <w:rsid w:val="00646F16"/>
    <w:rsid w:val="0064714D"/>
    <w:rsid w:val="0064727D"/>
    <w:rsid w:val="006473CE"/>
    <w:rsid w:val="00647B32"/>
    <w:rsid w:val="00647C27"/>
    <w:rsid w:val="00647E1E"/>
    <w:rsid w:val="0065035F"/>
    <w:rsid w:val="00651556"/>
    <w:rsid w:val="0065184D"/>
    <w:rsid w:val="006519E6"/>
    <w:rsid w:val="00651B1F"/>
    <w:rsid w:val="00651CDE"/>
    <w:rsid w:val="00652326"/>
    <w:rsid w:val="006524F6"/>
    <w:rsid w:val="00652907"/>
    <w:rsid w:val="00652983"/>
    <w:rsid w:val="00652E06"/>
    <w:rsid w:val="00652E83"/>
    <w:rsid w:val="00652F57"/>
    <w:rsid w:val="00653A31"/>
    <w:rsid w:val="00653FC4"/>
    <w:rsid w:val="0065442A"/>
    <w:rsid w:val="00654F91"/>
    <w:rsid w:val="00655361"/>
    <w:rsid w:val="006557B6"/>
    <w:rsid w:val="00655A98"/>
    <w:rsid w:val="006560C6"/>
    <w:rsid w:val="00656253"/>
    <w:rsid w:val="006562C5"/>
    <w:rsid w:val="0065654D"/>
    <w:rsid w:val="00656799"/>
    <w:rsid w:val="006568A3"/>
    <w:rsid w:val="00656B77"/>
    <w:rsid w:val="00656E72"/>
    <w:rsid w:val="00657139"/>
    <w:rsid w:val="00657369"/>
    <w:rsid w:val="0065738A"/>
    <w:rsid w:val="006573F8"/>
    <w:rsid w:val="00657571"/>
    <w:rsid w:val="006578A1"/>
    <w:rsid w:val="00657C1E"/>
    <w:rsid w:val="006601D4"/>
    <w:rsid w:val="00660BBE"/>
    <w:rsid w:val="0066104D"/>
    <w:rsid w:val="00661106"/>
    <w:rsid w:val="0066137B"/>
    <w:rsid w:val="006613BD"/>
    <w:rsid w:val="0066157F"/>
    <w:rsid w:val="0066171A"/>
    <w:rsid w:val="0066174E"/>
    <w:rsid w:val="00661BBB"/>
    <w:rsid w:val="00661E57"/>
    <w:rsid w:val="006629E4"/>
    <w:rsid w:val="0066352E"/>
    <w:rsid w:val="00663586"/>
    <w:rsid w:val="00663621"/>
    <w:rsid w:val="00663783"/>
    <w:rsid w:val="00663B40"/>
    <w:rsid w:val="00663E47"/>
    <w:rsid w:val="00663EC7"/>
    <w:rsid w:val="006644A7"/>
    <w:rsid w:val="006644CC"/>
    <w:rsid w:val="0066493E"/>
    <w:rsid w:val="00664BDE"/>
    <w:rsid w:val="00664D69"/>
    <w:rsid w:val="0066519C"/>
    <w:rsid w:val="006655B4"/>
    <w:rsid w:val="0066565B"/>
    <w:rsid w:val="00665C44"/>
    <w:rsid w:val="00665E1C"/>
    <w:rsid w:val="00665E23"/>
    <w:rsid w:val="00666284"/>
    <w:rsid w:val="006663A9"/>
    <w:rsid w:val="006667F3"/>
    <w:rsid w:val="00666D12"/>
    <w:rsid w:val="00667536"/>
    <w:rsid w:val="00667AEA"/>
    <w:rsid w:val="00667E53"/>
    <w:rsid w:val="006704FA"/>
    <w:rsid w:val="00670687"/>
    <w:rsid w:val="00670DC5"/>
    <w:rsid w:val="00671652"/>
    <w:rsid w:val="00671FAA"/>
    <w:rsid w:val="0067227D"/>
    <w:rsid w:val="00672B99"/>
    <w:rsid w:val="00672EAF"/>
    <w:rsid w:val="00673CA4"/>
    <w:rsid w:val="00675DA5"/>
    <w:rsid w:val="006762B8"/>
    <w:rsid w:val="0067638A"/>
    <w:rsid w:val="006802B0"/>
    <w:rsid w:val="00680482"/>
    <w:rsid w:val="006808D3"/>
    <w:rsid w:val="006808DC"/>
    <w:rsid w:val="00680B6B"/>
    <w:rsid w:val="00681655"/>
    <w:rsid w:val="006816B6"/>
    <w:rsid w:val="00681C41"/>
    <w:rsid w:val="00681D6E"/>
    <w:rsid w:val="00682075"/>
    <w:rsid w:val="006820EB"/>
    <w:rsid w:val="006820EC"/>
    <w:rsid w:val="00682128"/>
    <w:rsid w:val="0068220C"/>
    <w:rsid w:val="00682AB1"/>
    <w:rsid w:val="00682E9F"/>
    <w:rsid w:val="00683252"/>
    <w:rsid w:val="0068343A"/>
    <w:rsid w:val="006834D4"/>
    <w:rsid w:val="00683F0A"/>
    <w:rsid w:val="0068413D"/>
    <w:rsid w:val="0068422B"/>
    <w:rsid w:val="006844BA"/>
    <w:rsid w:val="006845A2"/>
    <w:rsid w:val="006848DA"/>
    <w:rsid w:val="00684B9D"/>
    <w:rsid w:val="00684BF8"/>
    <w:rsid w:val="00684D9B"/>
    <w:rsid w:val="00684E61"/>
    <w:rsid w:val="006858AA"/>
    <w:rsid w:val="00685BCF"/>
    <w:rsid w:val="00686059"/>
    <w:rsid w:val="0068686C"/>
    <w:rsid w:val="006871D0"/>
    <w:rsid w:val="0068751F"/>
    <w:rsid w:val="00687625"/>
    <w:rsid w:val="006900D1"/>
    <w:rsid w:val="00690297"/>
    <w:rsid w:val="0069064E"/>
    <w:rsid w:val="006907DD"/>
    <w:rsid w:val="0069115A"/>
    <w:rsid w:val="00691284"/>
    <w:rsid w:val="006912F1"/>
    <w:rsid w:val="00691387"/>
    <w:rsid w:val="0069235C"/>
    <w:rsid w:val="006923BA"/>
    <w:rsid w:val="006927F2"/>
    <w:rsid w:val="00692BEF"/>
    <w:rsid w:val="00692C52"/>
    <w:rsid w:val="006931E1"/>
    <w:rsid w:val="00693E3A"/>
    <w:rsid w:val="00694310"/>
    <w:rsid w:val="00694700"/>
    <w:rsid w:val="00694803"/>
    <w:rsid w:val="00694CE8"/>
    <w:rsid w:val="006952EE"/>
    <w:rsid w:val="0069569E"/>
    <w:rsid w:val="006956C6"/>
    <w:rsid w:val="0069589F"/>
    <w:rsid w:val="0069607F"/>
    <w:rsid w:val="006965E4"/>
    <w:rsid w:val="00696EE3"/>
    <w:rsid w:val="0069715D"/>
    <w:rsid w:val="00697392"/>
    <w:rsid w:val="006973E5"/>
    <w:rsid w:val="006973E7"/>
    <w:rsid w:val="00697664"/>
    <w:rsid w:val="00697681"/>
    <w:rsid w:val="0069770C"/>
    <w:rsid w:val="006A0626"/>
    <w:rsid w:val="006A08F2"/>
    <w:rsid w:val="006A0982"/>
    <w:rsid w:val="006A0B7D"/>
    <w:rsid w:val="006A0EB9"/>
    <w:rsid w:val="006A12C2"/>
    <w:rsid w:val="006A151A"/>
    <w:rsid w:val="006A1E62"/>
    <w:rsid w:val="006A2184"/>
    <w:rsid w:val="006A237C"/>
    <w:rsid w:val="006A2573"/>
    <w:rsid w:val="006A2A12"/>
    <w:rsid w:val="006A2E9C"/>
    <w:rsid w:val="006A2EEC"/>
    <w:rsid w:val="006A306E"/>
    <w:rsid w:val="006A30C7"/>
    <w:rsid w:val="006A34C9"/>
    <w:rsid w:val="006A35E0"/>
    <w:rsid w:val="006A377F"/>
    <w:rsid w:val="006A384A"/>
    <w:rsid w:val="006A3875"/>
    <w:rsid w:val="006A3D40"/>
    <w:rsid w:val="006A4279"/>
    <w:rsid w:val="006A561D"/>
    <w:rsid w:val="006A565E"/>
    <w:rsid w:val="006A573C"/>
    <w:rsid w:val="006A5A0C"/>
    <w:rsid w:val="006A5B72"/>
    <w:rsid w:val="006A5BA0"/>
    <w:rsid w:val="006A5BB1"/>
    <w:rsid w:val="006A5C5F"/>
    <w:rsid w:val="006A5F88"/>
    <w:rsid w:val="006A6DAA"/>
    <w:rsid w:val="006A7B21"/>
    <w:rsid w:val="006A7BDF"/>
    <w:rsid w:val="006A7D95"/>
    <w:rsid w:val="006B064F"/>
    <w:rsid w:val="006B120D"/>
    <w:rsid w:val="006B13C1"/>
    <w:rsid w:val="006B15C8"/>
    <w:rsid w:val="006B1A90"/>
    <w:rsid w:val="006B2512"/>
    <w:rsid w:val="006B2807"/>
    <w:rsid w:val="006B2CC7"/>
    <w:rsid w:val="006B3AF9"/>
    <w:rsid w:val="006B3ED6"/>
    <w:rsid w:val="006B3FE3"/>
    <w:rsid w:val="006B44C5"/>
    <w:rsid w:val="006B51E5"/>
    <w:rsid w:val="006B555F"/>
    <w:rsid w:val="006B5A60"/>
    <w:rsid w:val="006B6242"/>
    <w:rsid w:val="006B62B8"/>
    <w:rsid w:val="006B64FF"/>
    <w:rsid w:val="006B6787"/>
    <w:rsid w:val="006B6C62"/>
    <w:rsid w:val="006B6C7C"/>
    <w:rsid w:val="006B6EA4"/>
    <w:rsid w:val="006B7084"/>
    <w:rsid w:val="006B7179"/>
    <w:rsid w:val="006B77BB"/>
    <w:rsid w:val="006B7DA9"/>
    <w:rsid w:val="006B7F8F"/>
    <w:rsid w:val="006B7FC5"/>
    <w:rsid w:val="006C04BA"/>
    <w:rsid w:val="006C055E"/>
    <w:rsid w:val="006C0D13"/>
    <w:rsid w:val="006C187F"/>
    <w:rsid w:val="006C19BC"/>
    <w:rsid w:val="006C19D5"/>
    <w:rsid w:val="006C1B44"/>
    <w:rsid w:val="006C1F77"/>
    <w:rsid w:val="006C1F7B"/>
    <w:rsid w:val="006C2094"/>
    <w:rsid w:val="006C2211"/>
    <w:rsid w:val="006C2610"/>
    <w:rsid w:val="006C2A7A"/>
    <w:rsid w:val="006C2DAB"/>
    <w:rsid w:val="006C3031"/>
    <w:rsid w:val="006C31D8"/>
    <w:rsid w:val="006C3353"/>
    <w:rsid w:val="006C3504"/>
    <w:rsid w:val="006C3607"/>
    <w:rsid w:val="006C3990"/>
    <w:rsid w:val="006C3ED2"/>
    <w:rsid w:val="006C4233"/>
    <w:rsid w:val="006C42E7"/>
    <w:rsid w:val="006C4422"/>
    <w:rsid w:val="006C4BDF"/>
    <w:rsid w:val="006C509C"/>
    <w:rsid w:val="006C55B9"/>
    <w:rsid w:val="006C5C4D"/>
    <w:rsid w:val="006C5CCA"/>
    <w:rsid w:val="006C625F"/>
    <w:rsid w:val="006C62EB"/>
    <w:rsid w:val="006C6977"/>
    <w:rsid w:val="006C6A35"/>
    <w:rsid w:val="006C7266"/>
    <w:rsid w:val="006C78A6"/>
    <w:rsid w:val="006C79FE"/>
    <w:rsid w:val="006C7AB4"/>
    <w:rsid w:val="006C7C9A"/>
    <w:rsid w:val="006D006B"/>
    <w:rsid w:val="006D0759"/>
    <w:rsid w:val="006D105C"/>
    <w:rsid w:val="006D1067"/>
    <w:rsid w:val="006D124F"/>
    <w:rsid w:val="006D14ED"/>
    <w:rsid w:val="006D1780"/>
    <w:rsid w:val="006D1BE4"/>
    <w:rsid w:val="006D1D4F"/>
    <w:rsid w:val="006D2DEB"/>
    <w:rsid w:val="006D30E7"/>
    <w:rsid w:val="006D48E7"/>
    <w:rsid w:val="006D4947"/>
    <w:rsid w:val="006D4C98"/>
    <w:rsid w:val="006D533E"/>
    <w:rsid w:val="006D5677"/>
    <w:rsid w:val="006D5DE2"/>
    <w:rsid w:val="006D5F16"/>
    <w:rsid w:val="006D605F"/>
    <w:rsid w:val="006D6202"/>
    <w:rsid w:val="006D63AD"/>
    <w:rsid w:val="006D6764"/>
    <w:rsid w:val="006D67D9"/>
    <w:rsid w:val="006D6C93"/>
    <w:rsid w:val="006D6F8A"/>
    <w:rsid w:val="006D7573"/>
    <w:rsid w:val="006D7CE6"/>
    <w:rsid w:val="006E0340"/>
    <w:rsid w:val="006E06F9"/>
    <w:rsid w:val="006E06FD"/>
    <w:rsid w:val="006E07A9"/>
    <w:rsid w:val="006E0D35"/>
    <w:rsid w:val="006E0D91"/>
    <w:rsid w:val="006E12DC"/>
    <w:rsid w:val="006E1692"/>
    <w:rsid w:val="006E1706"/>
    <w:rsid w:val="006E17A9"/>
    <w:rsid w:val="006E198A"/>
    <w:rsid w:val="006E3488"/>
    <w:rsid w:val="006E37A0"/>
    <w:rsid w:val="006E3961"/>
    <w:rsid w:val="006E3CB2"/>
    <w:rsid w:val="006E3CC3"/>
    <w:rsid w:val="006E3DA8"/>
    <w:rsid w:val="006E4233"/>
    <w:rsid w:val="006E44D5"/>
    <w:rsid w:val="006E5464"/>
    <w:rsid w:val="006E5DAA"/>
    <w:rsid w:val="006E6002"/>
    <w:rsid w:val="006E65F2"/>
    <w:rsid w:val="006E65FB"/>
    <w:rsid w:val="006E6600"/>
    <w:rsid w:val="006E674B"/>
    <w:rsid w:val="006E7006"/>
    <w:rsid w:val="006E7358"/>
    <w:rsid w:val="006E7A4F"/>
    <w:rsid w:val="006F0069"/>
    <w:rsid w:val="006F00E7"/>
    <w:rsid w:val="006F0663"/>
    <w:rsid w:val="006F067F"/>
    <w:rsid w:val="006F0C57"/>
    <w:rsid w:val="006F0F6E"/>
    <w:rsid w:val="006F1372"/>
    <w:rsid w:val="006F1690"/>
    <w:rsid w:val="006F1B22"/>
    <w:rsid w:val="006F1BA4"/>
    <w:rsid w:val="006F2259"/>
    <w:rsid w:val="006F23E1"/>
    <w:rsid w:val="006F2635"/>
    <w:rsid w:val="006F29B6"/>
    <w:rsid w:val="006F2B04"/>
    <w:rsid w:val="006F2F8F"/>
    <w:rsid w:val="006F2FDA"/>
    <w:rsid w:val="006F2FE5"/>
    <w:rsid w:val="006F3460"/>
    <w:rsid w:val="006F34FE"/>
    <w:rsid w:val="006F3615"/>
    <w:rsid w:val="006F3FA3"/>
    <w:rsid w:val="006F48BA"/>
    <w:rsid w:val="006F4AF9"/>
    <w:rsid w:val="006F5045"/>
    <w:rsid w:val="006F54EB"/>
    <w:rsid w:val="006F582B"/>
    <w:rsid w:val="006F5B19"/>
    <w:rsid w:val="006F5CC1"/>
    <w:rsid w:val="006F67A5"/>
    <w:rsid w:val="006F6889"/>
    <w:rsid w:val="006F6BD1"/>
    <w:rsid w:val="006F762D"/>
    <w:rsid w:val="00700492"/>
    <w:rsid w:val="0070062A"/>
    <w:rsid w:val="00700684"/>
    <w:rsid w:val="007009AC"/>
    <w:rsid w:val="00700C13"/>
    <w:rsid w:val="0070167E"/>
    <w:rsid w:val="0070178F"/>
    <w:rsid w:val="00701AD0"/>
    <w:rsid w:val="00701DF2"/>
    <w:rsid w:val="00701E1B"/>
    <w:rsid w:val="007027B9"/>
    <w:rsid w:val="00702ED0"/>
    <w:rsid w:val="00703C09"/>
    <w:rsid w:val="00703CE4"/>
    <w:rsid w:val="00704158"/>
    <w:rsid w:val="0070434A"/>
    <w:rsid w:val="00704794"/>
    <w:rsid w:val="007048C4"/>
    <w:rsid w:val="00704A9F"/>
    <w:rsid w:val="00704C69"/>
    <w:rsid w:val="00704CC4"/>
    <w:rsid w:val="00705345"/>
    <w:rsid w:val="00705545"/>
    <w:rsid w:val="00705D1B"/>
    <w:rsid w:val="00705E64"/>
    <w:rsid w:val="0070638D"/>
    <w:rsid w:val="0070673D"/>
    <w:rsid w:val="00706961"/>
    <w:rsid w:val="00706DBF"/>
    <w:rsid w:val="007070CD"/>
    <w:rsid w:val="007072EF"/>
    <w:rsid w:val="00707A59"/>
    <w:rsid w:val="0071046B"/>
    <w:rsid w:val="0071097C"/>
    <w:rsid w:val="00710A9A"/>
    <w:rsid w:val="00710AC6"/>
    <w:rsid w:val="00710BC1"/>
    <w:rsid w:val="00710C1D"/>
    <w:rsid w:val="00710D50"/>
    <w:rsid w:val="007110A3"/>
    <w:rsid w:val="00711108"/>
    <w:rsid w:val="00711213"/>
    <w:rsid w:val="007112A1"/>
    <w:rsid w:val="0071164B"/>
    <w:rsid w:val="00711996"/>
    <w:rsid w:val="00711B3B"/>
    <w:rsid w:val="00711BA3"/>
    <w:rsid w:val="00711C9D"/>
    <w:rsid w:val="00712654"/>
    <w:rsid w:val="00712833"/>
    <w:rsid w:val="00712B71"/>
    <w:rsid w:val="00712BC9"/>
    <w:rsid w:val="00712E55"/>
    <w:rsid w:val="00713023"/>
    <w:rsid w:val="0071322C"/>
    <w:rsid w:val="007132CF"/>
    <w:rsid w:val="00713779"/>
    <w:rsid w:val="00713989"/>
    <w:rsid w:val="00713DCF"/>
    <w:rsid w:val="00713E6D"/>
    <w:rsid w:val="00713F5E"/>
    <w:rsid w:val="00714004"/>
    <w:rsid w:val="0071458E"/>
    <w:rsid w:val="007145C9"/>
    <w:rsid w:val="00714631"/>
    <w:rsid w:val="00714883"/>
    <w:rsid w:val="00714B6E"/>
    <w:rsid w:val="00714E3C"/>
    <w:rsid w:val="0071512F"/>
    <w:rsid w:val="00715D3B"/>
    <w:rsid w:val="00715DA6"/>
    <w:rsid w:val="007169AC"/>
    <w:rsid w:val="007169DD"/>
    <w:rsid w:val="00716E7A"/>
    <w:rsid w:val="00717679"/>
    <w:rsid w:val="00717B67"/>
    <w:rsid w:val="007206A2"/>
    <w:rsid w:val="00720A32"/>
    <w:rsid w:val="00720B38"/>
    <w:rsid w:val="00720C53"/>
    <w:rsid w:val="00720CA7"/>
    <w:rsid w:val="00720CC2"/>
    <w:rsid w:val="0072147B"/>
    <w:rsid w:val="0072181E"/>
    <w:rsid w:val="00721AFC"/>
    <w:rsid w:val="00722267"/>
    <w:rsid w:val="0072285E"/>
    <w:rsid w:val="00722C62"/>
    <w:rsid w:val="00722C66"/>
    <w:rsid w:val="00722CBF"/>
    <w:rsid w:val="0072321F"/>
    <w:rsid w:val="00723295"/>
    <w:rsid w:val="0072332A"/>
    <w:rsid w:val="007236B3"/>
    <w:rsid w:val="007237DC"/>
    <w:rsid w:val="007238E2"/>
    <w:rsid w:val="007239B4"/>
    <w:rsid w:val="00724446"/>
    <w:rsid w:val="00724584"/>
    <w:rsid w:val="00724851"/>
    <w:rsid w:val="00724995"/>
    <w:rsid w:val="00724A00"/>
    <w:rsid w:val="00724AA1"/>
    <w:rsid w:val="00724D39"/>
    <w:rsid w:val="007253CB"/>
    <w:rsid w:val="00725A19"/>
    <w:rsid w:val="00725F52"/>
    <w:rsid w:val="00726356"/>
    <w:rsid w:val="007268C7"/>
    <w:rsid w:val="00726AAB"/>
    <w:rsid w:val="00726BC1"/>
    <w:rsid w:val="00727077"/>
    <w:rsid w:val="007272A4"/>
    <w:rsid w:val="00727373"/>
    <w:rsid w:val="00727AC8"/>
    <w:rsid w:val="00727AF2"/>
    <w:rsid w:val="007307DF"/>
    <w:rsid w:val="00730D69"/>
    <w:rsid w:val="00730EA6"/>
    <w:rsid w:val="007313F7"/>
    <w:rsid w:val="007316E5"/>
    <w:rsid w:val="0073194C"/>
    <w:rsid w:val="00731C15"/>
    <w:rsid w:val="00731C94"/>
    <w:rsid w:val="00732045"/>
    <w:rsid w:val="007322A0"/>
    <w:rsid w:val="00732C1A"/>
    <w:rsid w:val="00732E8B"/>
    <w:rsid w:val="00732E98"/>
    <w:rsid w:val="007335D9"/>
    <w:rsid w:val="00733CDC"/>
    <w:rsid w:val="00733EFB"/>
    <w:rsid w:val="0073408A"/>
    <w:rsid w:val="007347AC"/>
    <w:rsid w:val="007349A9"/>
    <w:rsid w:val="00734B9A"/>
    <w:rsid w:val="00734E10"/>
    <w:rsid w:val="00734FF4"/>
    <w:rsid w:val="00735695"/>
    <w:rsid w:val="00735ECD"/>
    <w:rsid w:val="007360CB"/>
    <w:rsid w:val="007360EE"/>
    <w:rsid w:val="00736823"/>
    <w:rsid w:val="00736D80"/>
    <w:rsid w:val="00737566"/>
    <w:rsid w:val="007400AB"/>
    <w:rsid w:val="0074170E"/>
    <w:rsid w:val="00741A88"/>
    <w:rsid w:val="00741BA2"/>
    <w:rsid w:val="00741CF4"/>
    <w:rsid w:val="00741DCC"/>
    <w:rsid w:val="00741DE2"/>
    <w:rsid w:val="007420E3"/>
    <w:rsid w:val="007421A1"/>
    <w:rsid w:val="007425C6"/>
    <w:rsid w:val="007427FE"/>
    <w:rsid w:val="00742C51"/>
    <w:rsid w:val="00743445"/>
    <w:rsid w:val="00743667"/>
    <w:rsid w:val="007438E8"/>
    <w:rsid w:val="007445A9"/>
    <w:rsid w:val="00744666"/>
    <w:rsid w:val="00744C14"/>
    <w:rsid w:val="00744E19"/>
    <w:rsid w:val="00745E01"/>
    <w:rsid w:val="00745F87"/>
    <w:rsid w:val="0074666B"/>
    <w:rsid w:val="007468D6"/>
    <w:rsid w:val="007469E4"/>
    <w:rsid w:val="00746BE3"/>
    <w:rsid w:val="00746BFF"/>
    <w:rsid w:val="00747020"/>
    <w:rsid w:val="0074706D"/>
    <w:rsid w:val="007473E1"/>
    <w:rsid w:val="007477DE"/>
    <w:rsid w:val="00747897"/>
    <w:rsid w:val="007479BF"/>
    <w:rsid w:val="00747BC1"/>
    <w:rsid w:val="00747E47"/>
    <w:rsid w:val="00750192"/>
    <w:rsid w:val="00750479"/>
    <w:rsid w:val="007504E1"/>
    <w:rsid w:val="00750544"/>
    <w:rsid w:val="00750804"/>
    <w:rsid w:val="007509AB"/>
    <w:rsid w:val="00750DAE"/>
    <w:rsid w:val="00751689"/>
    <w:rsid w:val="00751ED9"/>
    <w:rsid w:val="007524AA"/>
    <w:rsid w:val="0075280C"/>
    <w:rsid w:val="00752C1A"/>
    <w:rsid w:val="0075343E"/>
    <w:rsid w:val="00753744"/>
    <w:rsid w:val="0075378E"/>
    <w:rsid w:val="00753A93"/>
    <w:rsid w:val="00753E08"/>
    <w:rsid w:val="00754BF5"/>
    <w:rsid w:val="007552FA"/>
    <w:rsid w:val="00755510"/>
    <w:rsid w:val="00755663"/>
    <w:rsid w:val="00755792"/>
    <w:rsid w:val="00755A27"/>
    <w:rsid w:val="00755D9C"/>
    <w:rsid w:val="007562A9"/>
    <w:rsid w:val="00756386"/>
    <w:rsid w:val="00756603"/>
    <w:rsid w:val="007566BA"/>
    <w:rsid w:val="00756E0D"/>
    <w:rsid w:val="007575C0"/>
    <w:rsid w:val="00757D2F"/>
    <w:rsid w:val="0076000E"/>
    <w:rsid w:val="00760C00"/>
    <w:rsid w:val="007610E9"/>
    <w:rsid w:val="00761728"/>
    <w:rsid w:val="00761C6C"/>
    <w:rsid w:val="00761CC7"/>
    <w:rsid w:val="00762294"/>
    <w:rsid w:val="007628FD"/>
    <w:rsid w:val="00762A6F"/>
    <w:rsid w:val="00762B72"/>
    <w:rsid w:val="007630AD"/>
    <w:rsid w:val="007631A8"/>
    <w:rsid w:val="00763579"/>
    <w:rsid w:val="00763CCB"/>
    <w:rsid w:val="007641BB"/>
    <w:rsid w:val="007642B4"/>
    <w:rsid w:val="00764C45"/>
    <w:rsid w:val="00764C7F"/>
    <w:rsid w:val="00765F77"/>
    <w:rsid w:val="00766277"/>
    <w:rsid w:val="0076656A"/>
    <w:rsid w:val="00766701"/>
    <w:rsid w:val="00766911"/>
    <w:rsid w:val="007671FB"/>
    <w:rsid w:val="00767793"/>
    <w:rsid w:val="007679D8"/>
    <w:rsid w:val="00767EFF"/>
    <w:rsid w:val="0077032B"/>
    <w:rsid w:val="007704AB"/>
    <w:rsid w:val="00770803"/>
    <w:rsid w:val="0077080E"/>
    <w:rsid w:val="00770A2C"/>
    <w:rsid w:val="00771319"/>
    <w:rsid w:val="007713E8"/>
    <w:rsid w:val="00771495"/>
    <w:rsid w:val="00771794"/>
    <w:rsid w:val="007717BC"/>
    <w:rsid w:val="00771C6E"/>
    <w:rsid w:val="00771CCF"/>
    <w:rsid w:val="00771F7D"/>
    <w:rsid w:val="00772C3E"/>
    <w:rsid w:val="0077316C"/>
    <w:rsid w:val="007732E3"/>
    <w:rsid w:val="00773534"/>
    <w:rsid w:val="007736E8"/>
    <w:rsid w:val="0077386F"/>
    <w:rsid w:val="00774067"/>
    <w:rsid w:val="00774400"/>
    <w:rsid w:val="007749EF"/>
    <w:rsid w:val="00774A53"/>
    <w:rsid w:val="00774ACE"/>
    <w:rsid w:val="00774EDA"/>
    <w:rsid w:val="00775823"/>
    <w:rsid w:val="0077589A"/>
    <w:rsid w:val="00775F57"/>
    <w:rsid w:val="00775FA6"/>
    <w:rsid w:val="0077630B"/>
    <w:rsid w:val="00776584"/>
    <w:rsid w:val="00776718"/>
    <w:rsid w:val="007769EF"/>
    <w:rsid w:val="00776D4F"/>
    <w:rsid w:val="00776DDC"/>
    <w:rsid w:val="007770F9"/>
    <w:rsid w:val="00777179"/>
    <w:rsid w:val="00777792"/>
    <w:rsid w:val="0077783A"/>
    <w:rsid w:val="00777945"/>
    <w:rsid w:val="00777D40"/>
    <w:rsid w:val="0078006D"/>
    <w:rsid w:val="00780B8D"/>
    <w:rsid w:val="00780B8E"/>
    <w:rsid w:val="00780C21"/>
    <w:rsid w:val="00781649"/>
    <w:rsid w:val="007823D6"/>
    <w:rsid w:val="0078254E"/>
    <w:rsid w:val="00782628"/>
    <w:rsid w:val="007826AB"/>
    <w:rsid w:val="00782A21"/>
    <w:rsid w:val="007831D3"/>
    <w:rsid w:val="007833D0"/>
    <w:rsid w:val="007836F0"/>
    <w:rsid w:val="00783964"/>
    <w:rsid w:val="007840E2"/>
    <w:rsid w:val="007845CF"/>
    <w:rsid w:val="007848A1"/>
    <w:rsid w:val="00784BEB"/>
    <w:rsid w:val="0078569F"/>
    <w:rsid w:val="00785701"/>
    <w:rsid w:val="00785803"/>
    <w:rsid w:val="00785EB4"/>
    <w:rsid w:val="0078609A"/>
    <w:rsid w:val="00786DF0"/>
    <w:rsid w:val="00786F85"/>
    <w:rsid w:val="0078731A"/>
    <w:rsid w:val="00787487"/>
    <w:rsid w:val="00787A6F"/>
    <w:rsid w:val="007906F1"/>
    <w:rsid w:val="00790A5C"/>
    <w:rsid w:val="00790EDA"/>
    <w:rsid w:val="00790FA2"/>
    <w:rsid w:val="00791349"/>
    <w:rsid w:val="00791686"/>
    <w:rsid w:val="00791D85"/>
    <w:rsid w:val="00791DAF"/>
    <w:rsid w:val="00792438"/>
    <w:rsid w:val="007924CA"/>
    <w:rsid w:val="00792C7B"/>
    <w:rsid w:val="00792EE3"/>
    <w:rsid w:val="0079399A"/>
    <w:rsid w:val="00794B62"/>
    <w:rsid w:val="00794CBF"/>
    <w:rsid w:val="00795365"/>
    <w:rsid w:val="0079567E"/>
    <w:rsid w:val="007958C8"/>
    <w:rsid w:val="00795A8C"/>
    <w:rsid w:val="00795F6A"/>
    <w:rsid w:val="007961D5"/>
    <w:rsid w:val="007969FA"/>
    <w:rsid w:val="00796A6F"/>
    <w:rsid w:val="00796C5D"/>
    <w:rsid w:val="00796DB4"/>
    <w:rsid w:val="00796F75"/>
    <w:rsid w:val="00797B06"/>
    <w:rsid w:val="00797B9C"/>
    <w:rsid w:val="00797CE8"/>
    <w:rsid w:val="00797FCD"/>
    <w:rsid w:val="007A0105"/>
    <w:rsid w:val="007A02C7"/>
    <w:rsid w:val="007A0483"/>
    <w:rsid w:val="007A0895"/>
    <w:rsid w:val="007A097D"/>
    <w:rsid w:val="007A0BDF"/>
    <w:rsid w:val="007A0DA2"/>
    <w:rsid w:val="007A1065"/>
    <w:rsid w:val="007A182D"/>
    <w:rsid w:val="007A1D86"/>
    <w:rsid w:val="007A1DD7"/>
    <w:rsid w:val="007A2108"/>
    <w:rsid w:val="007A2348"/>
    <w:rsid w:val="007A2A97"/>
    <w:rsid w:val="007A2CDC"/>
    <w:rsid w:val="007A2D51"/>
    <w:rsid w:val="007A371B"/>
    <w:rsid w:val="007A3832"/>
    <w:rsid w:val="007A3A0F"/>
    <w:rsid w:val="007A3E60"/>
    <w:rsid w:val="007A407D"/>
    <w:rsid w:val="007A42C3"/>
    <w:rsid w:val="007A448B"/>
    <w:rsid w:val="007A464F"/>
    <w:rsid w:val="007A517E"/>
    <w:rsid w:val="007A5590"/>
    <w:rsid w:val="007A6196"/>
    <w:rsid w:val="007A63D5"/>
    <w:rsid w:val="007A689A"/>
    <w:rsid w:val="007A68EA"/>
    <w:rsid w:val="007A6ABE"/>
    <w:rsid w:val="007A6B7D"/>
    <w:rsid w:val="007A6D8F"/>
    <w:rsid w:val="007A7264"/>
    <w:rsid w:val="007A73CC"/>
    <w:rsid w:val="007A7596"/>
    <w:rsid w:val="007A75F5"/>
    <w:rsid w:val="007A7629"/>
    <w:rsid w:val="007B1027"/>
    <w:rsid w:val="007B10A7"/>
    <w:rsid w:val="007B1691"/>
    <w:rsid w:val="007B174F"/>
    <w:rsid w:val="007B1863"/>
    <w:rsid w:val="007B1C06"/>
    <w:rsid w:val="007B22E0"/>
    <w:rsid w:val="007B28CA"/>
    <w:rsid w:val="007B2C89"/>
    <w:rsid w:val="007B315C"/>
    <w:rsid w:val="007B358D"/>
    <w:rsid w:val="007B4082"/>
    <w:rsid w:val="007B4381"/>
    <w:rsid w:val="007B4AD8"/>
    <w:rsid w:val="007B4C9E"/>
    <w:rsid w:val="007B50C6"/>
    <w:rsid w:val="007B50E7"/>
    <w:rsid w:val="007B5401"/>
    <w:rsid w:val="007B5F33"/>
    <w:rsid w:val="007B5FB4"/>
    <w:rsid w:val="007B617D"/>
    <w:rsid w:val="007B661E"/>
    <w:rsid w:val="007B6B2B"/>
    <w:rsid w:val="007B711C"/>
    <w:rsid w:val="007B7590"/>
    <w:rsid w:val="007B7753"/>
    <w:rsid w:val="007B7949"/>
    <w:rsid w:val="007B7D30"/>
    <w:rsid w:val="007B7D87"/>
    <w:rsid w:val="007C01EB"/>
    <w:rsid w:val="007C0376"/>
    <w:rsid w:val="007C05F3"/>
    <w:rsid w:val="007C06FC"/>
    <w:rsid w:val="007C0FA9"/>
    <w:rsid w:val="007C2077"/>
    <w:rsid w:val="007C2413"/>
    <w:rsid w:val="007C25AE"/>
    <w:rsid w:val="007C27B4"/>
    <w:rsid w:val="007C282C"/>
    <w:rsid w:val="007C2A22"/>
    <w:rsid w:val="007C2BD2"/>
    <w:rsid w:val="007C3152"/>
    <w:rsid w:val="007C333B"/>
    <w:rsid w:val="007C362B"/>
    <w:rsid w:val="007C366B"/>
    <w:rsid w:val="007C3808"/>
    <w:rsid w:val="007C38DA"/>
    <w:rsid w:val="007C3914"/>
    <w:rsid w:val="007C3CEA"/>
    <w:rsid w:val="007C3D92"/>
    <w:rsid w:val="007C3E98"/>
    <w:rsid w:val="007C41AA"/>
    <w:rsid w:val="007C4EB2"/>
    <w:rsid w:val="007C5492"/>
    <w:rsid w:val="007C54C7"/>
    <w:rsid w:val="007C5966"/>
    <w:rsid w:val="007C59BF"/>
    <w:rsid w:val="007C5A8F"/>
    <w:rsid w:val="007C5B38"/>
    <w:rsid w:val="007C5C51"/>
    <w:rsid w:val="007C685A"/>
    <w:rsid w:val="007C74AF"/>
    <w:rsid w:val="007C7545"/>
    <w:rsid w:val="007C76E8"/>
    <w:rsid w:val="007D01E6"/>
    <w:rsid w:val="007D035E"/>
    <w:rsid w:val="007D0396"/>
    <w:rsid w:val="007D05E5"/>
    <w:rsid w:val="007D0644"/>
    <w:rsid w:val="007D0E88"/>
    <w:rsid w:val="007D147C"/>
    <w:rsid w:val="007D1680"/>
    <w:rsid w:val="007D1801"/>
    <w:rsid w:val="007D1AD5"/>
    <w:rsid w:val="007D1FE0"/>
    <w:rsid w:val="007D20BB"/>
    <w:rsid w:val="007D22C6"/>
    <w:rsid w:val="007D24F0"/>
    <w:rsid w:val="007D261E"/>
    <w:rsid w:val="007D2B0F"/>
    <w:rsid w:val="007D2F61"/>
    <w:rsid w:val="007D3004"/>
    <w:rsid w:val="007D347F"/>
    <w:rsid w:val="007D3C4A"/>
    <w:rsid w:val="007D3D0E"/>
    <w:rsid w:val="007D3D33"/>
    <w:rsid w:val="007D4036"/>
    <w:rsid w:val="007D41C2"/>
    <w:rsid w:val="007D4275"/>
    <w:rsid w:val="007D4F02"/>
    <w:rsid w:val="007D5AA9"/>
    <w:rsid w:val="007D5C4E"/>
    <w:rsid w:val="007D6171"/>
    <w:rsid w:val="007D644D"/>
    <w:rsid w:val="007D663E"/>
    <w:rsid w:val="007D674C"/>
    <w:rsid w:val="007D6B7B"/>
    <w:rsid w:val="007D6CB6"/>
    <w:rsid w:val="007D6CF1"/>
    <w:rsid w:val="007D6EF0"/>
    <w:rsid w:val="007D7012"/>
    <w:rsid w:val="007D7131"/>
    <w:rsid w:val="007D742C"/>
    <w:rsid w:val="007D7BEC"/>
    <w:rsid w:val="007D7CE3"/>
    <w:rsid w:val="007D7ED9"/>
    <w:rsid w:val="007E0195"/>
    <w:rsid w:val="007E02E4"/>
    <w:rsid w:val="007E02F7"/>
    <w:rsid w:val="007E051A"/>
    <w:rsid w:val="007E0798"/>
    <w:rsid w:val="007E0A87"/>
    <w:rsid w:val="007E0CA1"/>
    <w:rsid w:val="007E176F"/>
    <w:rsid w:val="007E1B72"/>
    <w:rsid w:val="007E1D7A"/>
    <w:rsid w:val="007E2AA8"/>
    <w:rsid w:val="007E2C2B"/>
    <w:rsid w:val="007E37FA"/>
    <w:rsid w:val="007E3875"/>
    <w:rsid w:val="007E3EE3"/>
    <w:rsid w:val="007E3EFB"/>
    <w:rsid w:val="007E50AB"/>
    <w:rsid w:val="007E53DE"/>
    <w:rsid w:val="007E55E7"/>
    <w:rsid w:val="007E57DE"/>
    <w:rsid w:val="007E5873"/>
    <w:rsid w:val="007E5902"/>
    <w:rsid w:val="007E600E"/>
    <w:rsid w:val="007E6719"/>
    <w:rsid w:val="007E68ED"/>
    <w:rsid w:val="007E69ED"/>
    <w:rsid w:val="007E6A0C"/>
    <w:rsid w:val="007E6B7E"/>
    <w:rsid w:val="007E6DF6"/>
    <w:rsid w:val="007E76F7"/>
    <w:rsid w:val="007E7B2D"/>
    <w:rsid w:val="007E7D5B"/>
    <w:rsid w:val="007F0221"/>
    <w:rsid w:val="007F02C2"/>
    <w:rsid w:val="007F034B"/>
    <w:rsid w:val="007F07B9"/>
    <w:rsid w:val="007F0928"/>
    <w:rsid w:val="007F09DE"/>
    <w:rsid w:val="007F15CE"/>
    <w:rsid w:val="007F198E"/>
    <w:rsid w:val="007F1AEB"/>
    <w:rsid w:val="007F1E88"/>
    <w:rsid w:val="007F210E"/>
    <w:rsid w:val="007F2351"/>
    <w:rsid w:val="007F235A"/>
    <w:rsid w:val="007F2CD7"/>
    <w:rsid w:val="007F2F60"/>
    <w:rsid w:val="007F350A"/>
    <w:rsid w:val="007F3568"/>
    <w:rsid w:val="007F3876"/>
    <w:rsid w:val="007F422D"/>
    <w:rsid w:val="007F42B9"/>
    <w:rsid w:val="007F44B2"/>
    <w:rsid w:val="007F4DBA"/>
    <w:rsid w:val="007F5064"/>
    <w:rsid w:val="007F518F"/>
    <w:rsid w:val="007F519C"/>
    <w:rsid w:val="007F51C7"/>
    <w:rsid w:val="007F534D"/>
    <w:rsid w:val="007F5461"/>
    <w:rsid w:val="007F54A2"/>
    <w:rsid w:val="007F54FE"/>
    <w:rsid w:val="007F5535"/>
    <w:rsid w:val="007F579F"/>
    <w:rsid w:val="007F5B0F"/>
    <w:rsid w:val="007F5D32"/>
    <w:rsid w:val="007F604D"/>
    <w:rsid w:val="007F72DC"/>
    <w:rsid w:val="007F795F"/>
    <w:rsid w:val="0080034B"/>
    <w:rsid w:val="0080069C"/>
    <w:rsid w:val="008006FD"/>
    <w:rsid w:val="00800BEC"/>
    <w:rsid w:val="00800C87"/>
    <w:rsid w:val="00800E5D"/>
    <w:rsid w:val="00800F63"/>
    <w:rsid w:val="00801269"/>
    <w:rsid w:val="0080148D"/>
    <w:rsid w:val="0080156B"/>
    <w:rsid w:val="00801A3A"/>
    <w:rsid w:val="00802E43"/>
    <w:rsid w:val="00803C88"/>
    <w:rsid w:val="008040BA"/>
    <w:rsid w:val="00804114"/>
    <w:rsid w:val="00804634"/>
    <w:rsid w:val="008047E8"/>
    <w:rsid w:val="00804965"/>
    <w:rsid w:val="0080531E"/>
    <w:rsid w:val="00805698"/>
    <w:rsid w:val="00805815"/>
    <w:rsid w:val="0080585B"/>
    <w:rsid w:val="00805C3D"/>
    <w:rsid w:val="00806225"/>
    <w:rsid w:val="00806A11"/>
    <w:rsid w:val="00806F1D"/>
    <w:rsid w:val="008077ED"/>
    <w:rsid w:val="00807B6F"/>
    <w:rsid w:val="00807E15"/>
    <w:rsid w:val="00807E87"/>
    <w:rsid w:val="00807E93"/>
    <w:rsid w:val="00810172"/>
    <w:rsid w:val="008102DE"/>
    <w:rsid w:val="00810762"/>
    <w:rsid w:val="00810858"/>
    <w:rsid w:val="00810B92"/>
    <w:rsid w:val="00810EFF"/>
    <w:rsid w:val="00811314"/>
    <w:rsid w:val="008114CA"/>
    <w:rsid w:val="00811A39"/>
    <w:rsid w:val="00811D72"/>
    <w:rsid w:val="008122A7"/>
    <w:rsid w:val="0081291B"/>
    <w:rsid w:val="00812CA7"/>
    <w:rsid w:val="00812FE2"/>
    <w:rsid w:val="008132B7"/>
    <w:rsid w:val="00813622"/>
    <w:rsid w:val="0081381F"/>
    <w:rsid w:val="00813B4A"/>
    <w:rsid w:val="00813C6F"/>
    <w:rsid w:val="00813DCF"/>
    <w:rsid w:val="00813FAB"/>
    <w:rsid w:val="008140A2"/>
    <w:rsid w:val="0081498C"/>
    <w:rsid w:val="00814AE1"/>
    <w:rsid w:val="0081571D"/>
    <w:rsid w:val="00815D31"/>
    <w:rsid w:val="0081601F"/>
    <w:rsid w:val="00816064"/>
    <w:rsid w:val="008173C4"/>
    <w:rsid w:val="008174B2"/>
    <w:rsid w:val="00817871"/>
    <w:rsid w:val="00817A8A"/>
    <w:rsid w:val="00817CFF"/>
    <w:rsid w:val="0082000D"/>
    <w:rsid w:val="00820053"/>
    <w:rsid w:val="008200BB"/>
    <w:rsid w:val="0082037E"/>
    <w:rsid w:val="00820C9C"/>
    <w:rsid w:val="00820F48"/>
    <w:rsid w:val="00820F55"/>
    <w:rsid w:val="00821572"/>
    <w:rsid w:val="00821D13"/>
    <w:rsid w:val="00822310"/>
    <w:rsid w:val="00822760"/>
    <w:rsid w:val="00822B37"/>
    <w:rsid w:val="008236DC"/>
    <w:rsid w:val="00823794"/>
    <w:rsid w:val="008237F4"/>
    <w:rsid w:val="00823AE9"/>
    <w:rsid w:val="00823C21"/>
    <w:rsid w:val="00823D39"/>
    <w:rsid w:val="00823F67"/>
    <w:rsid w:val="00824022"/>
    <w:rsid w:val="0082483A"/>
    <w:rsid w:val="00824A81"/>
    <w:rsid w:val="00824CAA"/>
    <w:rsid w:val="008252AA"/>
    <w:rsid w:val="008257B8"/>
    <w:rsid w:val="00825C99"/>
    <w:rsid w:val="008260ED"/>
    <w:rsid w:val="00826537"/>
    <w:rsid w:val="0082699D"/>
    <w:rsid w:val="00826CA5"/>
    <w:rsid w:val="00826E6B"/>
    <w:rsid w:val="008275FD"/>
    <w:rsid w:val="008279F5"/>
    <w:rsid w:val="00827CFE"/>
    <w:rsid w:val="00830891"/>
    <w:rsid w:val="00830BA1"/>
    <w:rsid w:val="00830EB2"/>
    <w:rsid w:val="008315EF"/>
    <w:rsid w:val="00831652"/>
    <w:rsid w:val="00831692"/>
    <w:rsid w:val="008316A7"/>
    <w:rsid w:val="00831A2B"/>
    <w:rsid w:val="0083202E"/>
    <w:rsid w:val="008320B8"/>
    <w:rsid w:val="0083219C"/>
    <w:rsid w:val="00832220"/>
    <w:rsid w:val="008327D2"/>
    <w:rsid w:val="00832FFF"/>
    <w:rsid w:val="0083304F"/>
    <w:rsid w:val="008332F1"/>
    <w:rsid w:val="008334C9"/>
    <w:rsid w:val="00833703"/>
    <w:rsid w:val="00834122"/>
    <w:rsid w:val="008352C5"/>
    <w:rsid w:val="008352D0"/>
    <w:rsid w:val="00835790"/>
    <w:rsid w:val="008358A6"/>
    <w:rsid w:val="008359FB"/>
    <w:rsid w:val="00835C56"/>
    <w:rsid w:val="008360FC"/>
    <w:rsid w:val="00836E81"/>
    <w:rsid w:val="0083701A"/>
    <w:rsid w:val="008377C1"/>
    <w:rsid w:val="008378D9"/>
    <w:rsid w:val="00837C90"/>
    <w:rsid w:val="00837EB1"/>
    <w:rsid w:val="0084042B"/>
    <w:rsid w:val="0084046E"/>
    <w:rsid w:val="0084056E"/>
    <w:rsid w:val="008409BB"/>
    <w:rsid w:val="00841034"/>
    <w:rsid w:val="00841407"/>
    <w:rsid w:val="008415C7"/>
    <w:rsid w:val="00841652"/>
    <w:rsid w:val="00841792"/>
    <w:rsid w:val="0084184A"/>
    <w:rsid w:val="008423F2"/>
    <w:rsid w:val="008424E8"/>
    <w:rsid w:val="00842A30"/>
    <w:rsid w:val="00842F71"/>
    <w:rsid w:val="00843179"/>
    <w:rsid w:val="00843803"/>
    <w:rsid w:val="0084386A"/>
    <w:rsid w:val="00843AA7"/>
    <w:rsid w:val="00843E0E"/>
    <w:rsid w:val="008442EA"/>
    <w:rsid w:val="00844589"/>
    <w:rsid w:val="00844685"/>
    <w:rsid w:val="00844794"/>
    <w:rsid w:val="008448D5"/>
    <w:rsid w:val="00844D79"/>
    <w:rsid w:val="00844FE7"/>
    <w:rsid w:val="00845103"/>
    <w:rsid w:val="00845969"/>
    <w:rsid w:val="00845F37"/>
    <w:rsid w:val="00845FF5"/>
    <w:rsid w:val="00846001"/>
    <w:rsid w:val="0084615D"/>
    <w:rsid w:val="008461E1"/>
    <w:rsid w:val="00846263"/>
    <w:rsid w:val="0084642A"/>
    <w:rsid w:val="008465C4"/>
    <w:rsid w:val="00846710"/>
    <w:rsid w:val="008467AE"/>
    <w:rsid w:val="008467C2"/>
    <w:rsid w:val="00846A73"/>
    <w:rsid w:val="008476BB"/>
    <w:rsid w:val="008478ED"/>
    <w:rsid w:val="0085005A"/>
    <w:rsid w:val="0085041C"/>
    <w:rsid w:val="008505A8"/>
    <w:rsid w:val="0085087F"/>
    <w:rsid w:val="00851426"/>
    <w:rsid w:val="00851728"/>
    <w:rsid w:val="00851DFF"/>
    <w:rsid w:val="00851F19"/>
    <w:rsid w:val="00852F4F"/>
    <w:rsid w:val="00853084"/>
    <w:rsid w:val="00853142"/>
    <w:rsid w:val="008537AC"/>
    <w:rsid w:val="008537B3"/>
    <w:rsid w:val="00853DA5"/>
    <w:rsid w:val="00853E23"/>
    <w:rsid w:val="00853F92"/>
    <w:rsid w:val="00854071"/>
    <w:rsid w:val="008540A6"/>
    <w:rsid w:val="00854167"/>
    <w:rsid w:val="00854420"/>
    <w:rsid w:val="00854481"/>
    <w:rsid w:val="0085547D"/>
    <w:rsid w:val="008555EF"/>
    <w:rsid w:val="00855F3B"/>
    <w:rsid w:val="00857591"/>
    <w:rsid w:val="00857E88"/>
    <w:rsid w:val="008602BF"/>
    <w:rsid w:val="0086069A"/>
    <w:rsid w:val="00860AB3"/>
    <w:rsid w:val="0086118A"/>
    <w:rsid w:val="008612DB"/>
    <w:rsid w:val="00861768"/>
    <w:rsid w:val="00861B57"/>
    <w:rsid w:val="00862AC4"/>
    <w:rsid w:val="008632A5"/>
    <w:rsid w:val="0086331C"/>
    <w:rsid w:val="0086337B"/>
    <w:rsid w:val="008633AC"/>
    <w:rsid w:val="008634E3"/>
    <w:rsid w:val="008636B3"/>
    <w:rsid w:val="008639E5"/>
    <w:rsid w:val="008642B2"/>
    <w:rsid w:val="00864627"/>
    <w:rsid w:val="00864635"/>
    <w:rsid w:val="00864678"/>
    <w:rsid w:val="00864C1A"/>
    <w:rsid w:val="00864D15"/>
    <w:rsid w:val="00864E54"/>
    <w:rsid w:val="00865217"/>
    <w:rsid w:val="008658AA"/>
    <w:rsid w:val="00865CBD"/>
    <w:rsid w:val="00865F8D"/>
    <w:rsid w:val="00866E37"/>
    <w:rsid w:val="00866F9E"/>
    <w:rsid w:val="008670D8"/>
    <w:rsid w:val="008672E2"/>
    <w:rsid w:val="0086783B"/>
    <w:rsid w:val="0086793D"/>
    <w:rsid w:val="00867B1C"/>
    <w:rsid w:val="0087023F"/>
    <w:rsid w:val="00870585"/>
    <w:rsid w:val="008705FF"/>
    <w:rsid w:val="00870CB8"/>
    <w:rsid w:val="00871263"/>
    <w:rsid w:val="008713D6"/>
    <w:rsid w:val="00871643"/>
    <w:rsid w:val="00871E49"/>
    <w:rsid w:val="0087281D"/>
    <w:rsid w:val="00872D64"/>
    <w:rsid w:val="008731F6"/>
    <w:rsid w:val="0087328D"/>
    <w:rsid w:val="008732D8"/>
    <w:rsid w:val="00873377"/>
    <w:rsid w:val="00873479"/>
    <w:rsid w:val="00873577"/>
    <w:rsid w:val="008737AF"/>
    <w:rsid w:val="008737F3"/>
    <w:rsid w:val="00873C4A"/>
    <w:rsid w:val="00873CE7"/>
    <w:rsid w:val="0087409F"/>
    <w:rsid w:val="00874C40"/>
    <w:rsid w:val="00874D58"/>
    <w:rsid w:val="008750D2"/>
    <w:rsid w:val="00875AB5"/>
    <w:rsid w:val="00875C5C"/>
    <w:rsid w:val="00875C91"/>
    <w:rsid w:val="00875F09"/>
    <w:rsid w:val="00875F74"/>
    <w:rsid w:val="00875F85"/>
    <w:rsid w:val="0087610D"/>
    <w:rsid w:val="00876308"/>
    <w:rsid w:val="008766D2"/>
    <w:rsid w:val="00876A70"/>
    <w:rsid w:val="00876C6B"/>
    <w:rsid w:val="00876DC9"/>
    <w:rsid w:val="00877125"/>
    <w:rsid w:val="008771A0"/>
    <w:rsid w:val="008777C2"/>
    <w:rsid w:val="008802F6"/>
    <w:rsid w:val="0088033B"/>
    <w:rsid w:val="0088063B"/>
    <w:rsid w:val="00881110"/>
    <w:rsid w:val="008812A2"/>
    <w:rsid w:val="008813A8"/>
    <w:rsid w:val="00881511"/>
    <w:rsid w:val="00882448"/>
    <w:rsid w:val="00882EAD"/>
    <w:rsid w:val="00882F1D"/>
    <w:rsid w:val="00883141"/>
    <w:rsid w:val="00883A4D"/>
    <w:rsid w:val="00883B21"/>
    <w:rsid w:val="00883D02"/>
    <w:rsid w:val="00883D66"/>
    <w:rsid w:val="00883F8F"/>
    <w:rsid w:val="00884235"/>
    <w:rsid w:val="00884C46"/>
    <w:rsid w:val="00884F1A"/>
    <w:rsid w:val="00885285"/>
    <w:rsid w:val="00885498"/>
    <w:rsid w:val="00885727"/>
    <w:rsid w:val="00885985"/>
    <w:rsid w:val="00885EB9"/>
    <w:rsid w:val="00886699"/>
    <w:rsid w:val="00886A47"/>
    <w:rsid w:val="00886BE5"/>
    <w:rsid w:val="0088709A"/>
    <w:rsid w:val="00887635"/>
    <w:rsid w:val="00887A95"/>
    <w:rsid w:val="008900F2"/>
    <w:rsid w:val="008913BA"/>
    <w:rsid w:val="0089172C"/>
    <w:rsid w:val="00891819"/>
    <w:rsid w:val="0089199F"/>
    <w:rsid w:val="00891C32"/>
    <w:rsid w:val="00891D32"/>
    <w:rsid w:val="00891D7F"/>
    <w:rsid w:val="00892265"/>
    <w:rsid w:val="0089233E"/>
    <w:rsid w:val="00892548"/>
    <w:rsid w:val="00892552"/>
    <w:rsid w:val="00892B26"/>
    <w:rsid w:val="0089330E"/>
    <w:rsid w:val="00893A8E"/>
    <w:rsid w:val="00893B44"/>
    <w:rsid w:val="00893E27"/>
    <w:rsid w:val="0089409F"/>
    <w:rsid w:val="008945F7"/>
    <w:rsid w:val="0089463D"/>
    <w:rsid w:val="00894863"/>
    <w:rsid w:val="00894A4F"/>
    <w:rsid w:val="00894CA5"/>
    <w:rsid w:val="0089554F"/>
    <w:rsid w:val="008955E6"/>
    <w:rsid w:val="00895828"/>
    <w:rsid w:val="00895B5F"/>
    <w:rsid w:val="00895B82"/>
    <w:rsid w:val="0089601B"/>
    <w:rsid w:val="0089637C"/>
    <w:rsid w:val="008965CB"/>
    <w:rsid w:val="00896712"/>
    <w:rsid w:val="00896870"/>
    <w:rsid w:val="0089696A"/>
    <w:rsid w:val="008969BD"/>
    <w:rsid w:val="0089767D"/>
    <w:rsid w:val="00897F97"/>
    <w:rsid w:val="008A0C31"/>
    <w:rsid w:val="008A13BD"/>
    <w:rsid w:val="008A1596"/>
    <w:rsid w:val="008A193D"/>
    <w:rsid w:val="008A1EDF"/>
    <w:rsid w:val="008A2507"/>
    <w:rsid w:val="008A2695"/>
    <w:rsid w:val="008A2DC9"/>
    <w:rsid w:val="008A2FF1"/>
    <w:rsid w:val="008A32D4"/>
    <w:rsid w:val="008A352E"/>
    <w:rsid w:val="008A367F"/>
    <w:rsid w:val="008A37AF"/>
    <w:rsid w:val="008A385D"/>
    <w:rsid w:val="008A3C92"/>
    <w:rsid w:val="008A3D62"/>
    <w:rsid w:val="008A448D"/>
    <w:rsid w:val="008A4502"/>
    <w:rsid w:val="008A4911"/>
    <w:rsid w:val="008A4A55"/>
    <w:rsid w:val="008A4ED5"/>
    <w:rsid w:val="008A506F"/>
    <w:rsid w:val="008A528A"/>
    <w:rsid w:val="008A5298"/>
    <w:rsid w:val="008A535A"/>
    <w:rsid w:val="008A53FC"/>
    <w:rsid w:val="008A57C8"/>
    <w:rsid w:val="008A58B9"/>
    <w:rsid w:val="008A6126"/>
    <w:rsid w:val="008A6234"/>
    <w:rsid w:val="008A67CF"/>
    <w:rsid w:val="008A720F"/>
    <w:rsid w:val="008A7498"/>
    <w:rsid w:val="008A7581"/>
    <w:rsid w:val="008A77D1"/>
    <w:rsid w:val="008A7847"/>
    <w:rsid w:val="008A793D"/>
    <w:rsid w:val="008A7C72"/>
    <w:rsid w:val="008A7E22"/>
    <w:rsid w:val="008A7E74"/>
    <w:rsid w:val="008B04F2"/>
    <w:rsid w:val="008B0A68"/>
    <w:rsid w:val="008B0D0E"/>
    <w:rsid w:val="008B0D59"/>
    <w:rsid w:val="008B0DEA"/>
    <w:rsid w:val="008B1255"/>
    <w:rsid w:val="008B12BB"/>
    <w:rsid w:val="008B1411"/>
    <w:rsid w:val="008B17A2"/>
    <w:rsid w:val="008B1C57"/>
    <w:rsid w:val="008B22A2"/>
    <w:rsid w:val="008B25F2"/>
    <w:rsid w:val="008B2643"/>
    <w:rsid w:val="008B2C62"/>
    <w:rsid w:val="008B2D5D"/>
    <w:rsid w:val="008B2FAE"/>
    <w:rsid w:val="008B3317"/>
    <w:rsid w:val="008B414B"/>
    <w:rsid w:val="008B41A6"/>
    <w:rsid w:val="008B48EC"/>
    <w:rsid w:val="008B4E0E"/>
    <w:rsid w:val="008B4FB9"/>
    <w:rsid w:val="008B5715"/>
    <w:rsid w:val="008B5A2D"/>
    <w:rsid w:val="008B5BC2"/>
    <w:rsid w:val="008B5E54"/>
    <w:rsid w:val="008B60BB"/>
    <w:rsid w:val="008B60D7"/>
    <w:rsid w:val="008B6226"/>
    <w:rsid w:val="008B6732"/>
    <w:rsid w:val="008B68EC"/>
    <w:rsid w:val="008B6B1A"/>
    <w:rsid w:val="008B711E"/>
    <w:rsid w:val="008B720E"/>
    <w:rsid w:val="008B7236"/>
    <w:rsid w:val="008B79A9"/>
    <w:rsid w:val="008B7D4A"/>
    <w:rsid w:val="008C042F"/>
    <w:rsid w:val="008C057B"/>
    <w:rsid w:val="008C09F2"/>
    <w:rsid w:val="008C0AEC"/>
    <w:rsid w:val="008C0CAC"/>
    <w:rsid w:val="008C13B4"/>
    <w:rsid w:val="008C14C7"/>
    <w:rsid w:val="008C14F0"/>
    <w:rsid w:val="008C1557"/>
    <w:rsid w:val="008C1B8C"/>
    <w:rsid w:val="008C2306"/>
    <w:rsid w:val="008C26D1"/>
    <w:rsid w:val="008C29C0"/>
    <w:rsid w:val="008C2A7E"/>
    <w:rsid w:val="008C2B7F"/>
    <w:rsid w:val="008C2C4F"/>
    <w:rsid w:val="008C3368"/>
    <w:rsid w:val="008C3488"/>
    <w:rsid w:val="008C3626"/>
    <w:rsid w:val="008C36AC"/>
    <w:rsid w:val="008C3A25"/>
    <w:rsid w:val="008C443F"/>
    <w:rsid w:val="008C4953"/>
    <w:rsid w:val="008C49CB"/>
    <w:rsid w:val="008C4D67"/>
    <w:rsid w:val="008C4E44"/>
    <w:rsid w:val="008C5411"/>
    <w:rsid w:val="008C5B01"/>
    <w:rsid w:val="008C6042"/>
    <w:rsid w:val="008C6255"/>
    <w:rsid w:val="008C684B"/>
    <w:rsid w:val="008C691B"/>
    <w:rsid w:val="008C6964"/>
    <w:rsid w:val="008C6ABD"/>
    <w:rsid w:val="008C6F18"/>
    <w:rsid w:val="008C703E"/>
    <w:rsid w:val="008C75AF"/>
    <w:rsid w:val="008C7685"/>
    <w:rsid w:val="008C7B6D"/>
    <w:rsid w:val="008D007A"/>
    <w:rsid w:val="008D07DE"/>
    <w:rsid w:val="008D0831"/>
    <w:rsid w:val="008D0D95"/>
    <w:rsid w:val="008D0E40"/>
    <w:rsid w:val="008D1756"/>
    <w:rsid w:val="008D1867"/>
    <w:rsid w:val="008D1C7E"/>
    <w:rsid w:val="008D1E7F"/>
    <w:rsid w:val="008D1E8F"/>
    <w:rsid w:val="008D221F"/>
    <w:rsid w:val="008D2367"/>
    <w:rsid w:val="008D2E5B"/>
    <w:rsid w:val="008D2F5C"/>
    <w:rsid w:val="008D3DE7"/>
    <w:rsid w:val="008D427A"/>
    <w:rsid w:val="008D4B7E"/>
    <w:rsid w:val="008D4DD5"/>
    <w:rsid w:val="008D5657"/>
    <w:rsid w:val="008D641B"/>
    <w:rsid w:val="008D6752"/>
    <w:rsid w:val="008D69E7"/>
    <w:rsid w:val="008D6FC1"/>
    <w:rsid w:val="008D7C3B"/>
    <w:rsid w:val="008D7E4B"/>
    <w:rsid w:val="008E0125"/>
    <w:rsid w:val="008E0140"/>
    <w:rsid w:val="008E03F2"/>
    <w:rsid w:val="008E0688"/>
    <w:rsid w:val="008E0BEF"/>
    <w:rsid w:val="008E103C"/>
    <w:rsid w:val="008E14C5"/>
    <w:rsid w:val="008E15CD"/>
    <w:rsid w:val="008E266D"/>
    <w:rsid w:val="008E28D4"/>
    <w:rsid w:val="008E2C8B"/>
    <w:rsid w:val="008E2F0C"/>
    <w:rsid w:val="008E3022"/>
    <w:rsid w:val="008E312B"/>
    <w:rsid w:val="008E348F"/>
    <w:rsid w:val="008E3E23"/>
    <w:rsid w:val="008E3ED0"/>
    <w:rsid w:val="008E40F5"/>
    <w:rsid w:val="008E463A"/>
    <w:rsid w:val="008E4958"/>
    <w:rsid w:val="008E51D1"/>
    <w:rsid w:val="008E547B"/>
    <w:rsid w:val="008E5782"/>
    <w:rsid w:val="008E5DF8"/>
    <w:rsid w:val="008E5E32"/>
    <w:rsid w:val="008E6F40"/>
    <w:rsid w:val="008E75F6"/>
    <w:rsid w:val="008E7A99"/>
    <w:rsid w:val="008F0250"/>
    <w:rsid w:val="008F109C"/>
    <w:rsid w:val="008F11F4"/>
    <w:rsid w:val="008F1952"/>
    <w:rsid w:val="008F1C08"/>
    <w:rsid w:val="008F1E46"/>
    <w:rsid w:val="008F2356"/>
    <w:rsid w:val="008F254D"/>
    <w:rsid w:val="008F3068"/>
    <w:rsid w:val="008F310B"/>
    <w:rsid w:val="008F3169"/>
    <w:rsid w:val="008F322B"/>
    <w:rsid w:val="008F34CB"/>
    <w:rsid w:val="008F3519"/>
    <w:rsid w:val="008F3925"/>
    <w:rsid w:val="008F3AD3"/>
    <w:rsid w:val="008F3BC1"/>
    <w:rsid w:val="008F3CA7"/>
    <w:rsid w:val="008F443F"/>
    <w:rsid w:val="008F5A37"/>
    <w:rsid w:val="008F5DE5"/>
    <w:rsid w:val="008F5E42"/>
    <w:rsid w:val="008F6027"/>
    <w:rsid w:val="008F63B1"/>
    <w:rsid w:val="008F67D3"/>
    <w:rsid w:val="008F6973"/>
    <w:rsid w:val="008F6E6A"/>
    <w:rsid w:val="008F74AD"/>
    <w:rsid w:val="008F7AA7"/>
    <w:rsid w:val="008F7F94"/>
    <w:rsid w:val="0090033C"/>
    <w:rsid w:val="00900947"/>
    <w:rsid w:val="00900EB8"/>
    <w:rsid w:val="00900FBA"/>
    <w:rsid w:val="00901E81"/>
    <w:rsid w:val="00901EBB"/>
    <w:rsid w:val="0090240E"/>
    <w:rsid w:val="009024D1"/>
    <w:rsid w:val="00902E5B"/>
    <w:rsid w:val="00903869"/>
    <w:rsid w:val="00903FD9"/>
    <w:rsid w:val="00904BD6"/>
    <w:rsid w:val="00904C57"/>
    <w:rsid w:val="00904CAB"/>
    <w:rsid w:val="00904CF5"/>
    <w:rsid w:val="00905259"/>
    <w:rsid w:val="0090556C"/>
    <w:rsid w:val="00905633"/>
    <w:rsid w:val="00905710"/>
    <w:rsid w:val="00905B4D"/>
    <w:rsid w:val="00905EAE"/>
    <w:rsid w:val="009060C4"/>
    <w:rsid w:val="00906C91"/>
    <w:rsid w:val="00906C95"/>
    <w:rsid w:val="00907656"/>
    <w:rsid w:val="00907A93"/>
    <w:rsid w:val="00907E47"/>
    <w:rsid w:val="0091083A"/>
    <w:rsid w:val="00910A01"/>
    <w:rsid w:val="00910E18"/>
    <w:rsid w:val="009115EF"/>
    <w:rsid w:val="009116DD"/>
    <w:rsid w:val="00911D26"/>
    <w:rsid w:val="00912348"/>
    <w:rsid w:val="00912706"/>
    <w:rsid w:val="00912D1C"/>
    <w:rsid w:val="00913019"/>
    <w:rsid w:val="009131FC"/>
    <w:rsid w:val="009138DA"/>
    <w:rsid w:val="00913F1E"/>
    <w:rsid w:val="00913FB2"/>
    <w:rsid w:val="009140C4"/>
    <w:rsid w:val="009144A9"/>
    <w:rsid w:val="0091468B"/>
    <w:rsid w:val="00914DF2"/>
    <w:rsid w:val="0091526F"/>
    <w:rsid w:val="009153D2"/>
    <w:rsid w:val="00916286"/>
    <w:rsid w:val="00916595"/>
    <w:rsid w:val="00916C47"/>
    <w:rsid w:val="00916CFD"/>
    <w:rsid w:val="00916E28"/>
    <w:rsid w:val="00916F40"/>
    <w:rsid w:val="009170C4"/>
    <w:rsid w:val="009171AD"/>
    <w:rsid w:val="00917569"/>
    <w:rsid w:val="00917E36"/>
    <w:rsid w:val="00920174"/>
    <w:rsid w:val="00920638"/>
    <w:rsid w:val="00921387"/>
    <w:rsid w:val="0092138D"/>
    <w:rsid w:val="009213FC"/>
    <w:rsid w:val="0092175D"/>
    <w:rsid w:val="009219D2"/>
    <w:rsid w:val="00921A4E"/>
    <w:rsid w:val="00921E37"/>
    <w:rsid w:val="00922511"/>
    <w:rsid w:val="00922ED3"/>
    <w:rsid w:val="00922F07"/>
    <w:rsid w:val="0092317F"/>
    <w:rsid w:val="00923463"/>
    <w:rsid w:val="00923BC2"/>
    <w:rsid w:val="00924077"/>
    <w:rsid w:val="009248C5"/>
    <w:rsid w:val="00925187"/>
    <w:rsid w:val="00925238"/>
    <w:rsid w:val="00925658"/>
    <w:rsid w:val="00925ACF"/>
    <w:rsid w:val="00925DD0"/>
    <w:rsid w:val="0092615D"/>
    <w:rsid w:val="00926175"/>
    <w:rsid w:val="009264BA"/>
    <w:rsid w:val="00926546"/>
    <w:rsid w:val="009265A1"/>
    <w:rsid w:val="00927700"/>
    <w:rsid w:val="009279E3"/>
    <w:rsid w:val="0093036E"/>
    <w:rsid w:val="0093079C"/>
    <w:rsid w:val="00930BBD"/>
    <w:rsid w:val="00931224"/>
    <w:rsid w:val="009312B7"/>
    <w:rsid w:val="00931AAC"/>
    <w:rsid w:val="00931DF9"/>
    <w:rsid w:val="009323E3"/>
    <w:rsid w:val="0093264C"/>
    <w:rsid w:val="00932789"/>
    <w:rsid w:val="009329D8"/>
    <w:rsid w:val="00932C77"/>
    <w:rsid w:val="00932F06"/>
    <w:rsid w:val="009332AD"/>
    <w:rsid w:val="009333D3"/>
    <w:rsid w:val="009334D4"/>
    <w:rsid w:val="009339B6"/>
    <w:rsid w:val="00933B4C"/>
    <w:rsid w:val="00933DC4"/>
    <w:rsid w:val="0093431B"/>
    <w:rsid w:val="009346D6"/>
    <w:rsid w:val="00934743"/>
    <w:rsid w:val="0093487E"/>
    <w:rsid w:val="00934948"/>
    <w:rsid w:val="00934FFE"/>
    <w:rsid w:val="00935927"/>
    <w:rsid w:val="0093623B"/>
    <w:rsid w:val="0093637D"/>
    <w:rsid w:val="00936405"/>
    <w:rsid w:val="00936B64"/>
    <w:rsid w:val="0093790F"/>
    <w:rsid w:val="009379C4"/>
    <w:rsid w:val="009379D9"/>
    <w:rsid w:val="009402E9"/>
    <w:rsid w:val="0094041A"/>
    <w:rsid w:val="009405D3"/>
    <w:rsid w:val="00940D32"/>
    <w:rsid w:val="00940DF4"/>
    <w:rsid w:val="00940E16"/>
    <w:rsid w:val="00941017"/>
    <w:rsid w:val="0094139B"/>
    <w:rsid w:val="0094190D"/>
    <w:rsid w:val="00941F17"/>
    <w:rsid w:val="00942354"/>
    <w:rsid w:val="00942681"/>
    <w:rsid w:val="0094273A"/>
    <w:rsid w:val="0094297A"/>
    <w:rsid w:val="00942EB0"/>
    <w:rsid w:val="0094352A"/>
    <w:rsid w:val="00943A7E"/>
    <w:rsid w:val="00943E42"/>
    <w:rsid w:val="00943E5D"/>
    <w:rsid w:val="0094458B"/>
    <w:rsid w:val="00944728"/>
    <w:rsid w:val="009453E8"/>
    <w:rsid w:val="009454A6"/>
    <w:rsid w:val="00945664"/>
    <w:rsid w:val="00945A62"/>
    <w:rsid w:val="00945AD1"/>
    <w:rsid w:val="00946B2C"/>
    <w:rsid w:val="00946ECB"/>
    <w:rsid w:val="00947268"/>
    <w:rsid w:val="0094750E"/>
    <w:rsid w:val="00947C94"/>
    <w:rsid w:val="009507C8"/>
    <w:rsid w:val="009507CE"/>
    <w:rsid w:val="0095115E"/>
    <w:rsid w:val="0095118A"/>
    <w:rsid w:val="0095135B"/>
    <w:rsid w:val="009516AB"/>
    <w:rsid w:val="009518FE"/>
    <w:rsid w:val="00952468"/>
    <w:rsid w:val="009524FB"/>
    <w:rsid w:val="009529D2"/>
    <w:rsid w:val="00953261"/>
    <w:rsid w:val="00953916"/>
    <w:rsid w:val="0095440E"/>
    <w:rsid w:val="00954767"/>
    <w:rsid w:val="0095479B"/>
    <w:rsid w:val="0095487A"/>
    <w:rsid w:val="009548FB"/>
    <w:rsid w:val="00954A9C"/>
    <w:rsid w:val="00955178"/>
    <w:rsid w:val="0095538B"/>
    <w:rsid w:val="009556BB"/>
    <w:rsid w:val="009558BE"/>
    <w:rsid w:val="009565BA"/>
    <w:rsid w:val="0095678C"/>
    <w:rsid w:val="009568D0"/>
    <w:rsid w:val="00956DA7"/>
    <w:rsid w:val="009575B9"/>
    <w:rsid w:val="00957AF7"/>
    <w:rsid w:val="009606D9"/>
    <w:rsid w:val="00960ACA"/>
    <w:rsid w:val="00960C4F"/>
    <w:rsid w:val="00961DD6"/>
    <w:rsid w:val="0096217C"/>
    <w:rsid w:val="00962441"/>
    <w:rsid w:val="00962E4D"/>
    <w:rsid w:val="00963277"/>
    <w:rsid w:val="00963540"/>
    <w:rsid w:val="00963B9A"/>
    <w:rsid w:val="009643CE"/>
    <w:rsid w:val="00964824"/>
    <w:rsid w:val="00964B53"/>
    <w:rsid w:val="00964C3F"/>
    <w:rsid w:val="00964C6C"/>
    <w:rsid w:val="00964E57"/>
    <w:rsid w:val="00965176"/>
    <w:rsid w:val="0096518B"/>
    <w:rsid w:val="00965240"/>
    <w:rsid w:val="00965847"/>
    <w:rsid w:val="00965A3E"/>
    <w:rsid w:val="00965C48"/>
    <w:rsid w:val="00965EB0"/>
    <w:rsid w:val="00965FEA"/>
    <w:rsid w:val="009660F5"/>
    <w:rsid w:val="00966547"/>
    <w:rsid w:val="00966555"/>
    <w:rsid w:val="009665C1"/>
    <w:rsid w:val="009668B0"/>
    <w:rsid w:val="00966D9D"/>
    <w:rsid w:val="00966E4A"/>
    <w:rsid w:val="00967041"/>
    <w:rsid w:val="009679EF"/>
    <w:rsid w:val="00970918"/>
    <w:rsid w:val="0097099E"/>
    <w:rsid w:val="0097105B"/>
    <w:rsid w:val="00971418"/>
    <w:rsid w:val="0097153F"/>
    <w:rsid w:val="00971761"/>
    <w:rsid w:val="009717E8"/>
    <w:rsid w:val="0097186B"/>
    <w:rsid w:val="00971B86"/>
    <w:rsid w:val="0097212D"/>
    <w:rsid w:val="0097216F"/>
    <w:rsid w:val="00972190"/>
    <w:rsid w:val="009726AD"/>
    <w:rsid w:val="00972C3B"/>
    <w:rsid w:val="00973057"/>
    <w:rsid w:val="00973525"/>
    <w:rsid w:val="00973A21"/>
    <w:rsid w:val="00973F62"/>
    <w:rsid w:val="00974C87"/>
    <w:rsid w:val="00974D50"/>
    <w:rsid w:val="0097519D"/>
    <w:rsid w:val="009751AF"/>
    <w:rsid w:val="00975326"/>
    <w:rsid w:val="00975662"/>
    <w:rsid w:val="00975A1D"/>
    <w:rsid w:val="00975C95"/>
    <w:rsid w:val="00975DEA"/>
    <w:rsid w:val="00975F98"/>
    <w:rsid w:val="0097616E"/>
    <w:rsid w:val="0097669B"/>
    <w:rsid w:val="00976700"/>
    <w:rsid w:val="009771CF"/>
    <w:rsid w:val="0097729B"/>
    <w:rsid w:val="0097772F"/>
    <w:rsid w:val="00977CDF"/>
    <w:rsid w:val="0098043F"/>
    <w:rsid w:val="00980895"/>
    <w:rsid w:val="00981038"/>
    <w:rsid w:val="0098106E"/>
    <w:rsid w:val="009813CA"/>
    <w:rsid w:val="00981511"/>
    <w:rsid w:val="009818A4"/>
    <w:rsid w:val="009818F3"/>
    <w:rsid w:val="00981D1C"/>
    <w:rsid w:val="00981E1C"/>
    <w:rsid w:val="00982118"/>
    <w:rsid w:val="009824E7"/>
    <w:rsid w:val="00982A81"/>
    <w:rsid w:val="00982AB2"/>
    <w:rsid w:val="00982BE7"/>
    <w:rsid w:val="00982C62"/>
    <w:rsid w:val="00982C91"/>
    <w:rsid w:val="00982F76"/>
    <w:rsid w:val="00982FA3"/>
    <w:rsid w:val="009831A5"/>
    <w:rsid w:val="00984084"/>
    <w:rsid w:val="009840FD"/>
    <w:rsid w:val="00984519"/>
    <w:rsid w:val="009845F9"/>
    <w:rsid w:val="009846E5"/>
    <w:rsid w:val="00984701"/>
    <w:rsid w:val="00984847"/>
    <w:rsid w:val="00984BEC"/>
    <w:rsid w:val="00984C50"/>
    <w:rsid w:val="00985EB8"/>
    <w:rsid w:val="00985FB3"/>
    <w:rsid w:val="00986566"/>
    <w:rsid w:val="00986622"/>
    <w:rsid w:val="0098697C"/>
    <w:rsid w:val="00986CC1"/>
    <w:rsid w:val="00986CD2"/>
    <w:rsid w:val="00986F4E"/>
    <w:rsid w:val="00987191"/>
    <w:rsid w:val="00987A5A"/>
    <w:rsid w:val="00987CB4"/>
    <w:rsid w:val="009904F2"/>
    <w:rsid w:val="0099097E"/>
    <w:rsid w:val="0099141B"/>
    <w:rsid w:val="0099145D"/>
    <w:rsid w:val="00991463"/>
    <w:rsid w:val="00991848"/>
    <w:rsid w:val="009921FC"/>
    <w:rsid w:val="0099259A"/>
    <w:rsid w:val="0099272B"/>
    <w:rsid w:val="00992A0E"/>
    <w:rsid w:val="00992E64"/>
    <w:rsid w:val="00993001"/>
    <w:rsid w:val="009935E7"/>
    <w:rsid w:val="0099399E"/>
    <w:rsid w:val="00993FFE"/>
    <w:rsid w:val="0099413C"/>
    <w:rsid w:val="00994230"/>
    <w:rsid w:val="0099458C"/>
    <w:rsid w:val="0099479E"/>
    <w:rsid w:val="009951D8"/>
    <w:rsid w:val="0099529F"/>
    <w:rsid w:val="00995355"/>
    <w:rsid w:val="0099586F"/>
    <w:rsid w:val="0099598F"/>
    <w:rsid w:val="009965F2"/>
    <w:rsid w:val="00996833"/>
    <w:rsid w:val="00996CB5"/>
    <w:rsid w:val="0099719E"/>
    <w:rsid w:val="00997F81"/>
    <w:rsid w:val="00997FFB"/>
    <w:rsid w:val="009A0169"/>
    <w:rsid w:val="009A06A3"/>
    <w:rsid w:val="009A0DBE"/>
    <w:rsid w:val="009A1861"/>
    <w:rsid w:val="009A18B6"/>
    <w:rsid w:val="009A1B56"/>
    <w:rsid w:val="009A2A4E"/>
    <w:rsid w:val="009A2A8A"/>
    <w:rsid w:val="009A2E52"/>
    <w:rsid w:val="009A2F45"/>
    <w:rsid w:val="009A3081"/>
    <w:rsid w:val="009A33B2"/>
    <w:rsid w:val="009A3C93"/>
    <w:rsid w:val="009A3E67"/>
    <w:rsid w:val="009A3FD0"/>
    <w:rsid w:val="009A4B50"/>
    <w:rsid w:val="009A51C7"/>
    <w:rsid w:val="009A59EC"/>
    <w:rsid w:val="009A5C56"/>
    <w:rsid w:val="009A5CA8"/>
    <w:rsid w:val="009A5F2D"/>
    <w:rsid w:val="009A60D2"/>
    <w:rsid w:val="009A61C1"/>
    <w:rsid w:val="009A64CA"/>
    <w:rsid w:val="009A6562"/>
    <w:rsid w:val="009A6ED0"/>
    <w:rsid w:val="009A706A"/>
    <w:rsid w:val="009A71AB"/>
    <w:rsid w:val="009A7526"/>
    <w:rsid w:val="009A75A8"/>
    <w:rsid w:val="009A7745"/>
    <w:rsid w:val="009A7C3D"/>
    <w:rsid w:val="009B009A"/>
    <w:rsid w:val="009B00CB"/>
    <w:rsid w:val="009B0156"/>
    <w:rsid w:val="009B0295"/>
    <w:rsid w:val="009B02AB"/>
    <w:rsid w:val="009B0414"/>
    <w:rsid w:val="009B043A"/>
    <w:rsid w:val="009B05BA"/>
    <w:rsid w:val="009B0611"/>
    <w:rsid w:val="009B07CF"/>
    <w:rsid w:val="009B10F0"/>
    <w:rsid w:val="009B1949"/>
    <w:rsid w:val="009B1B0E"/>
    <w:rsid w:val="009B1CEE"/>
    <w:rsid w:val="009B2596"/>
    <w:rsid w:val="009B28F6"/>
    <w:rsid w:val="009B39BF"/>
    <w:rsid w:val="009B42B6"/>
    <w:rsid w:val="009B42CC"/>
    <w:rsid w:val="009B43D6"/>
    <w:rsid w:val="009B505D"/>
    <w:rsid w:val="009B5081"/>
    <w:rsid w:val="009B512B"/>
    <w:rsid w:val="009B523C"/>
    <w:rsid w:val="009B55EC"/>
    <w:rsid w:val="009B5939"/>
    <w:rsid w:val="009B5D27"/>
    <w:rsid w:val="009B6586"/>
    <w:rsid w:val="009B6985"/>
    <w:rsid w:val="009B69B3"/>
    <w:rsid w:val="009B6AFD"/>
    <w:rsid w:val="009B6DAB"/>
    <w:rsid w:val="009B6F0D"/>
    <w:rsid w:val="009B7011"/>
    <w:rsid w:val="009B70B8"/>
    <w:rsid w:val="009B71E4"/>
    <w:rsid w:val="009B7466"/>
    <w:rsid w:val="009C0420"/>
    <w:rsid w:val="009C04EE"/>
    <w:rsid w:val="009C0CD4"/>
    <w:rsid w:val="009C0EF1"/>
    <w:rsid w:val="009C15E7"/>
    <w:rsid w:val="009C17C8"/>
    <w:rsid w:val="009C1971"/>
    <w:rsid w:val="009C1BD8"/>
    <w:rsid w:val="009C2832"/>
    <w:rsid w:val="009C3664"/>
    <w:rsid w:val="009C385B"/>
    <w:rsid w:val="009C3873"/>
    <w:rsid w:val="009C3E3C"/>
    <w:rsid w:val="009C42A9"/>
    <w:rsid w:val="009C4353"/>
    <w:rsid w:val="009C49C2"/>
    <w:rsid w:val="009C4E2D"/>
    <w:rsid w:val="009C4FCC"/>
    <w:rsid w:val="009C5365"/>
    <w:rsid w:val="009C5901"/>
    <w:rsid w:val="009C5A3F"/>
    <w:rsid w:val="009C5AD7"/>
    <w:rsid w:val="009C5CDD"/>
    <w:rsid w:val="009C602C"/>
    <w:rsid w:val="009C60BD"/>
    <w:rsid w:val="009C611C"/>
    <w:rsid w:val="009C62C0"/>
    <w:rsid w:val="009C63B1"/>
    <w:rsid w:val="009C67AF"/>
    <w:rsid w:val="009C6855"/>
    <w:rsid w:val="009C6A88"/>
    <w:rsid w:val="009C6B83"/>
    <w:rsid w:val="009C765D"/>
    <w:rsid w:val="009C7ADA"/>
    <w:rsid w:val="009C7DF3"/>
    <w:rsid w:val="009D000A"/>
    <w:rsid w:val="009D03C7"/>
    <w:rsid w:val="009D07D2"/>
    <w:rsid w:val="009D1A86"/>
    <w:rsid w:val="009D1E12"/>
    <w:rsid w:val="009D2DA9"/>
    <w:rsid w:val="009D2E85"/>
    <w:rsid w:val="009D2E93"/>
    <w:rsid w:val="009D2EA9"/>
    <w:rsid w:val="009D3038"/>
    <w:rsid w:val="009D34C0"/>
    <w:rsid w:val="009D35FB"/>
    <w:rsid w:val="009D3C67"/>
    <w:rsid w:val="009D3E81"/>
    <w:rsid w:val="009D4BBE"/>
    <w:rsid w:val="009D4E16"/>
    <w:rsid w:val="009D5893"/>
    <w:rsid w:val="009D6620"/>
    <w:rsid w:val="009D69B5"/>
    <w:rsid w:val="009D6C54"/>
    <w:rsid w:val="009D72B0"/>
    <w:rsid w:val="009D77CE"/>
    <w:rsid w:val="009D7CA5"/>
    <w:rsid w:val="009D7DE3"/>
    <w:rsid w:val="009E004A"/>
    <w:rsid w:val="009E05C4"/>
    <w:rsid w:val="009E066B"/>
    <w:rsid w:val="009E0691"/>
    <w:rsid w:val="009E0886"/>
    <w:rsid w:val="009E1515"/>
    <w:rsid w:val="009E1C32"/>
    <w:rsid w:val="009E1CFF"/>
    <w:rsid w:val="009E1FEE"/>
    <w:rsid w:val="009E23EA"/>
    <w:rsid w:val="009E2CFE"/>
    <w:rsid w:val="009E2D24"/>
    <w:rsid w:val="009E2EA0"/>
    <w:rsid w:val="009E2FD8"/>
    <w:rsid w:val="009E305F"/>
    <w:rsid w:val="009E32B3"/>
    <w:rsid w:val="009E36FF"/>
    <w:rsid w:val="009E37D3"/>
    <w:rsid w:val="009E4224"/>
    <w:rsid w:val="009E4273"/>
    <w:rsid w:val="009E4BF8"/>
    <w:rsid w:val="009E5028"/>
    <w:rsid w:val="009E50FB"/>
    <w:rsid w:val="009E5280"/>
    <w:rsid w:val="009E5386"/>
    <w:rsid w:val="009E5AD1"/>
    <w:rsid w:val="009E5CC7"/>
    <w:rsid w:val="009E5DD1"/>
    <w:rsid w:val="009E60AD"/>
    <w:rsid w:val="009E68C8"/>
    <w:rsid w:val="009E6AB5"/>
    <w:rsid w:val="009E6DAB"/>
    <w:rsid w:val="009E6F4B"/>
    <w:rsid w:val="009E703C"/>
    <w:rsid w:val="009E7584"/>
    <w:rsid w:val="009E769C"/>
    <w:rsid w:val="009E7B26"/>
    <w:rsid w:val="009E7CCA"/>
    <w:rsid w:val="009E7E4C"/>
    <w:rsid w:val="009F005D"/>
    <w:rsid w:val="009F0713"/>
    <w:rsid w:val="009F0867"/>
    <w:rsid w:val="009F08F5"/>
    <w:rsid w:val="009F0956"/>
    <w:rsid w:val="009F0EE5"/>
    <w:rsid w:val="009F11FC"/>
    <w:rsid w:val="009F1264"/>
    <w:rsid w:val="009F1D7F"/>
    <w:rsid w:val="009F1EA4"/>
    <w:rsid w:val="009F245B"/>
    <w:rsid w:val="009F25E6"/>
    <w:rsid w:val="009F2BE8"/>
    <w:rsid w:val="009F2F09"/>
    <w:rsid w:val="009F39A7"/>
    <w:rsid w:val="009F3A3D"/>
    <w:rsid w:val="009F40B7"/>
    <w:rsid w:val="009F4188"/>
    <w:rsid w:val="009F4302"/>
    <w:rsid w:val="009F4393"/>
    <w:rsid w:val="009F43E5"/>
    <w:rsid w:val="009F4602"/>
    <w:rsid w:val="009F4606"/>
    <w:rsid w:val="009F4BE9"/>
    <w:rsid w:val="009F4C19"/>
    <w:rsid w:val="009F62D3"/>
    <w:rsid w:val="009F654D"/>
    <w:rsid w:val="009F6A03"/>
    <w:rsid w:val="009F6A8A"/>
    <w:rsid w:val="009F6FD0"/>
    <w:rsid w:val="009F705F"/>
    <w:rsid w:val="009F771C"/>
    <w:rsid w:val="009F7ED1"/>
    <w:rsid w:val="009F7F25"/>
    <w:rsid w:val="00A000F1"/>
    <w:rsid w:val="00A00112"/>
    <w:rsid w:val="00A00863"/>
    <w:rsid w:val="00A008A3"/>
    <w:rsid w:val="00A008B5"/>
    <w:rsid w:val="00A009E0"/>
    <w:rsid w:val="00A00BD6"/>
    <w:rsid w:val="00A00F57"/>
    <w:rsid w:val="00A017B4"/>
    <w:rsid w:val="00A0199E"/>
    <w:rsid w:val="00A01C53"/>
    <w:rsid w:val="00A01D38"/>
    <w:rsid w:val="00A02414"/>
    <w:rsid w:val="00A025B9"/>
    <w:rsid w:val="00A02AC4"/>
    <w:rsid w:val="00A0355C"/>
    <w:rsid w:val="00A039DD"/>
    <w:rsid w:val="00A03A13"/>
    <w:rsid w:val="00A03C58"/>
    <w:rsid w:val="00A03E75"/>
    <w:rsid w:val="00A040CD"/>
    <w:rsid w:val="00A042DA"/>
    <w:rsid w:val="00A0436B"/>
    <w:rsid w:val="00A0441D"/>
    <w:rsid w:val="00A04429"/>
    <w:rsid w:val="00A0495E"/>
    <w:rsid w:val="00A05159"/>
    <w:rsid w:val="00A06446"/>
    <w:rsid w:val="00A06697"/>
    <w:rsid w:val="00A068AD"/>
    <w:rsid w:val="00A06C40"/>
    <w:rsid w:val="00A06F73"/>
    <w:rsid w:val="00A0719F"/>
    <w:rsid w:val="00A07504"/>
    <w:rsid w:val="00A07A8A"/>
    <w:rsid w:val="00A07AAF"/>
    <w:rsid w:val="00A10586"/>
    <w:rsid w:val="00A10A48"/>
    <w:rsid w:val="00A10B0E"/>
    <w:rsid w:val="00A10B5D"/>
    <w:rsid w:val="00A11040"/>
    <w:rsid w:val="00A110DA"/>
    <w:rsid w:val="00A110F3"/>
    <w:rsid w:val="00A111B7"/>
    <w:rsid w:val="00A1132B"/>
    <w:rsid w:val="00A11930"/>
    <w:rsid w:val="00A119FD"/>
    <w:rsid w:val="00A11B54"/>
    <w:rsid w:val="00A11CDC"/>
    <w:rsid w:val="00A11DFF"/>
    <w:rsid w:val="00A12307"/>
    <w:rsid w:val="00A1238C"/>
    <w:rsid w:val="00A1263D"/>
    <w:rsid w:val="00A126E0"/>
    <w:rsid w:val="00A129E5"/>
    <w:rsid w:val="00A12AF2"/>
    <w:rsid w:val="00A12D8A"/>
    <w:rsid w:val="00A12E6C"/>
    <w:rsid w:val="00A132D6"/>
    <w:rsid w:val="00A133FC"/>
    <w:rsid w:val="00A134BC"/>
    <w:rsid w:val="00A136D0"/>
    <w:rsid w:val="00A13A3F"/>
    <w:rsid w:val="00A13D1A"/>
    <w:rsid w:val="00A14249"/>
    <w:rsid w:val="00A14A17"/>
    <w:rsid w:val="00A14DC2"/>
    <w:rsid w:val="00A14DD6"/>
    <w:rsid w:val="00A15169"/>
    <w:rsid w:val="00A15D5E"/>
    <w:rsid w:val="00A16160"/>
    <w:rsid w:val="00A161F8"/>
    <w:rsid w:val="00A16615"/>
    <w:rsid w:val="00A169FA"/>
    <w:rsid w:val="00A1766A"/>
    <w:rsid w:val="00A1786C"/>
    <w:rsid w:val="00A17D35"/>
    <w:rsid w:val="00A200F4"/>
    <w:rsid w:val="00A20148"/>
    <w:rsid w:val="00A206C9"/>
    <w:rsid w:val="00A2081F"/>
    <w:rsid w:val="00A20A65"/>
    <w:rsid w:val="00A20C27"/>
    <w:rsid w:val="00A20C9F"/>
    <w:rsid w:val="00A20D05"/>
    <w:rsid w:val="00A20D63"/>
    <w:rsid w:val="00A20E7D"/>
    <w:rsid w:val="00A216BC"/>
    <w:rsid w:val="00A22356"/>
    <w:rsid w:val="00A2243A"/>
    <w:rsid w:val="00A22571"/>
    <w:rsid w:val="00A22FB6"/>
    <w:rsid w:val="00A23016"/>
    <w:rsid w:val="00A2384A"/>
    <w:rsid w:val="00A238AE"/>
    <w:rsid w:val="00A23931"/>
    <w:rsid w:val="00A23FD6"/>
    <w:rsid w:val="00A24A8D"/>
    <w:rsid w:val="00A25317"/>
    <w:rsid w:val="00A2546D"/>
    <w:rsid w:val="00A25706"/>
    <w:rsid w:val="00A25D84"/>
    <w:rsid w:val="00A26029"/>
    <w:rsid w:val="00A262E4"/>
    <w:rsid w:val="00A268EA"/>
    <w:rsid w:val="00A276D5"/>
    <w:rsid w:val="00A276E2"/>
    <w:rsid w:val="00A27D0D"/>
    <w:rsid w:val="00A31931"/>
    <w:rsid w:val="00A31CE0"/>
    <w:rsid w:val="00A31E86"/>
    <w:rsid w:val="00A31FA9"/>
    <w:rsid w:val="00A32005"/>
    <w:rsid w:val="00A321B0"/>
    <w:rsid w:val="00A321B5"/>
    <w:rsid w:val="00A322DB"/>
    <w:rsid w:val="00A32A6D"/>
    <w:rsid w:val="00A32C22"/>
    <w:rsid w:val="00A33007"/>
    <w:rsid w:val="00A333BF"/>
    <w:rsid w:val="00A333E0"/>
    <w:rsid w:val="00A33825"/>
    <w:rsid w:val="00A3398F"/>
    <w:rsid w:val="00A33FF2"/>
    <w:rsid w:val="00A34832"/>
    <w:rsid w:val="00A35397"/>
    <w:rsid w:val="00A35583"/>
    <w:rsid w:val="00A35E5B"/>
    <w:rsid w:val="00A35EA4"/>
    <w:rsid w:val="00A3625A"/>
    <w:rsid w:val="00A363EF"/>
    <w:rsid w:val="00A36596"/>
    <w:rsid w:val="00A3699E"/>
    <w:rsid w:val="00A36DFE"/>
    <w:rsid w:val="00A370FD"/>
    <w:rsid w:val="00A3798C"/>
    <w:rsid w:val="00A37C93"/>
    <w:rsid w:val="00A37DD9"/>
    <w:rsid w:val="00A4065C"/>
    <w:rsid w:val="00A40EB0"/>
    <w:rsid w:val="00A40ED7"/>
    <w:rsid w:val="00A40F83"/>
    <w:rsid w:val="00A412BA"/>
    <w:rsid w:val="00A41416"/>
    <w:rsid w:val="00A41C7B"/>
    <w:rsid w:val="00A4200D"/>
    <w:rsid w:val="00A42207"/>
    <w:rsid w:val="00A4242A"/>
    <w:rsid w:val="00A424BF"/>
    <w:rsid w:val="00A4258E"/>
    <w:rsid w:val="00A42CC1"/>
    <w:rsid w:val="00A432D1"/>
    <w:rsid w:val="00A43716"/>
    <w:rsid w:val="00A43C2F"/>
    <w:rsid w:val="00A442C5"/>
    <w:rsid w:val="00A44712"/>
    <w:rsid w:val="00A44720"/>
    <w:rsid w:val="00A44738"/>
    <w:rsid w:val="00A44A68"/>
    <w:rsid w:val="00A44AF5"/>
    <w:rsid w:val="00A44B8B"/>
    <w:rsid w:val="00A44FFF"/>
    <w:rsid w:val="00A45050"/>
    <w:rsid w:val="00A4551F"/>
    <w:rsid w:val="00A4564D"/>
    <w:rsid w:val="00A45ABC"/>
    <w:rsid w:val="00A45E90"/>
    <w:rsid w:val="00A45EC4"/>
    <w:rsid w:val="00A46132"/>
    <w:rsid w:val="00A46824"/>
    <w:rsid w:val="00A46839"/>
    <w:rsid w:val="00A46F10"/>
    <w:rsid w:val="00A47212"/>
    <w:rsid w:val="00A474EA"/>
    <w:rsid w:val="00A501B2"/>
    <w:rsid w:val="00A5034A"/>
    <w:rsid w:val="00A506A3"/>
    <w:rsid w:val="00A50B9A"/>
    <w:rsid w:val="00A50FFA"/>
    <w:rsid w:val="00A51175"/>
    <w:rsid w:val="00A5233A"/>
    <w:rsid w:val="00A52A41"/>
    <w:rsid w:val="00A53313"/>
    <w:rsid w:val="00A539D1"/>
    <w:rsid w:val="00A53AF9"/>
    <w:rsid w:val="00A53C26"/>
    <w:rsid w:val="00A53D90"/>
    <w:rsid w:val="00A54DAE"/>
    <w:rsid w:val="00A5518A"/>
    <w:rsid w:val="00A551D8"/>
    <w:rsid w:val="00A56782"/>
    <w:rsid w:val="00A569DE"/>
    <w:rsid w:val="00A56D3B"/>
    <w:rsid w:val="00A57450"/>
    <w:rsid w:val="00A57479"/>
    <w:rsid w:val="00A576F6"/>
    <w:rsid w:val="00A57C08"/>
    <w:rsid w:val="00A600D9"/>
    <w:rsid w:val="00A604CD"/>
    <w:rsid w:val="00A60890"/>
    <w:rsid w:val="00A6091B"/>
    <w:rsid w:val="00A60FE1"/>
    <w:rsid w:val="00A610A2"/>
    <w:rsid w:val="00A61170"/>
    <w:rsid w:val="00A617D0"/>
    <w:rsid w:val="00A62E0F"/>
    <w:rsid w:val="00A62FA1"/>
    <w:rsid w:val="00A630A6"/>
    <w:rsid w:val="00A637A0"/>
    <w:rsid w:val="00A63ECD"/>
    <w:rsid w:val="00A64093"/>
    <w:rsid w:val="00A640EB"/>
    <w:rsid w:val="00A640FD"/>
    <w:rsid w:val="00A64815"/>
    <w:rsid w:val="00A65043"/>
    <w:rsid w:val="00A65126"/>
    <w:rsid w:val="00A654E3"/>
    <w:rsid w:val="00A65C2D"/>
    <w:rsid w:val="00A65C8C"/>
    <w:rsid w:val="00A65F14"/>
    <w:rsid w:val="00A66DF9"/>
    <w:rsid w:val="00A67994"/>
    <w:rsid w:val="00A67B92"/>
    <w:rsid w:val="00A704E4"/>
    <w:rsid w:val="00A7136A"/>
    <w:rsid w:val="00A713CB"/>
    <w:rsid w:val="00A7165B"/>
    <w:rsid w:val="00A71A6E"/>
    <w:rsid w:val="00A71C44"/>
    <w:rsid w:val="00A72296"/>
    <w:rsid w:val="00A72340"/>
    <w:rsid w:val="00A7245B"/>
    <w:rsid w:val="00A7288A"/>
    <w:rsid w:val="00A7388E"/>
    <w:rsid w:val="00A73FE8"/>
    <w:rsid w:val="00A74544"/>
    <w:rsid w:val="00A74548"/>
    <w:rsid w:val="00A7465A"/>
    <w:rsid w:val="00A747E7"/>
    <w:rsid w:val="00A748AF"/>
    <w:rsid w:val="00A74DF2"/>
    <w:rsid w:val="00A74E4D"/>
    <w:rsid w:val="00A75633"/>
    <w:rsid w:val="00A758B2"/>
    <w:rsid w:val="00A7592E"/>
    <w:rsid w:val="00A76771"/>
    <w:rsid w:val="00A76B2B"/>
    <w:rsid w:val="00A76C1F"/>
    <w:rsid w:val="00A774CF"/>
    <w:rsid w:val="00A803FC"/>
    <w:rsid w:val="00A8071A"/>
    <w:rsid w:val="00A80779"/>
    <w:rsid w:val="00A80798"/>
    <w:rsid w:val="00A808FB"/>
    <w:rsid w:val="00A80C4C"/>
    <w:rsid w:val="00A80DD9"/>
    <w:rsid w:val="00A80FCA"/>
    <w:rsid w:val="00A81CBC"/>
    <w:rsid w:val="00A821E9"/>
    <w:rsid w:val="00A82506"/>
    <w:rsid w:val="00A8263C"/>
    <w:rsid w:val="00A82677"/>
    <w:rsid w:val="00A82B78"/>
    <w:rsid w:val="00A83164"/>
    <w:rsid w:val="00A8321F"/>
    <w:rsid w:val="00A8322D"/>
    <w:rsid w:val="00A837CE"/>
    <w:rsid w:val="00A83DB5"/>
    <w:rsid w:val="00A83FBA"/>
    <w:rsid w:val="00A843B8"/>
    <w:rsid w:val="00A84636"/>
    <w:rsid w:val="00A84FE1"/>
    <w:rsid w:val="00A85080"/>
    <w:rsid w:val="00A85337"/>
    <w:rsid w:val="00A85690"/>
    <w:rsid w:val="00A85AE5"/>
    <w:rsid w:val="00A85CFF"/>
    <w:rsid w:val="00A8626D"/>
    <w:rsid w:val="00A86406"/>
    <w:rsid w:val="00A86853"/>
    <w:rsid w:val="00A868D1"/>
    <w:rsid w:val="00A86AC2"/>
    <w:rsid w:val="00A86B75"/>
    <w:rsid w:val="00A86E75"/>
    <w:rsid w:val="00A86F33"/>
    <w:rsid w:val="00A86F7F"/>
    <w:rsid w:val="00A871B1"/>
    <w:rsid w:val="00A87AF0"/>
    <w:rsid w:val="00A90327"/>
    <w:rsid w:val="00A9065F"/>
    <w:rsid w:val="00A90AF6"/>
    <w:rsid w:val="00A90B0E"/>
    <w:rsid w:val="00A90B2D"/>
    <w:rsid w:val="00A90B30"/>
    <w:rsid w:val="00A91AA1"/>
    <w:rsid w:val="00A91C8C"/>
    <w:rsid w:val="00A91F0D"/>
    <w:rsid w:val="00A9235A"/>
    <w:rsid w:val="00A92A97"/>
    <w:rsid w:val="00A92FF7"/>
    <w:rsid w:val="00A93069"/>
    <w:rsid w:val="00A9313C"/>
    <w:rsid w:val="00A932BE"/>
    <w:rsid w:val="00A932CC"/>
    <w:rsid w:val="00A93E07"/>
    <w:rsid w:val="00A94245"/>
    <w:rsid w:val="00A943B6"/>
    <w:rsid w:val="00A943D6"/>
    <w:rsid w:val="00A94489"/>
    <w:rsid w:val="00A9468F"/>
    <w:rsid w:val="00A948F2"/>
    <w:rsid w:val="00A9498D"/>
    <w:rsid w:val="00A950D4"/>
    <w:rsid w:val="00A952A0"/>
    <w:rsid w:val="00A95335"/>
    <w:rsid w:val="00A9566B"/>
    <w:rsid w:val="00A9657F"/>
    <w:rsid w:val="00A966A1"/>
    <w:rsid w:val="00A96B47"/>
    <w:rsid w:val="00A97242"/>
    <w:rsid w:val="00A9797D"/>
    <w:rsid w:val="00A97ABA"/>
    <w:rsid w:val="00AA005B"/>
    <w:rsid w:val="00AA015F"/>
    <w:rsid w:val="00AA0C3A"/>
    <w:rsid w:val="00AA124E"/>
    <w:rsid w:val="00AA12C4"/>
    <w:rsid w:val="00AA1723"/>
    <w:rsid w:val="00AA190D"/>
    <w:rsid w:val="00AA1FDD"/>
    <w:rsid w:val="00AA22C3"/>
    <w:rsid w:val="00AA230D"/>
    <w:rsid w:val="00AA2934"/>
    <w:rsid w:val="00AA2A1C"/>
    <w:rsid w:val="00AA2DCE"/>
    <w:rsid w:val="00AA3A44"/>
    <w:rsid w:val="00AA3AB0"/>
    <w:rsid w:val="00AA3B0A"/>
    <w:rsid w:val="00AA3DA7"/>
    <w:rsid w:val="00AA40FC"/>
    <w:rsid w:val="00AA4728"/>
    <w:rsid w:val="00AA4941"/>
    <w:rsid w:val="00AA49E9"/>
    <w:rsid w:val="00AA4E1A"/>
    <w:rsid w:val="00AA5087"/>
    <w:rsid w:val="00AA5475"/>
    <w:rsid w:val="00AA551C"/>
    <w:rsid w:val="00AA5876"/>
    <w:rsid w:val="00AA6A8A"/>
    <w:rsid w:val="00AA6C31"/>
    <w:rsid w:val="00AA6DD8"/>
    <w:rsid w:val="00AA6FA3"/>
    <w:rsid w:val="00AA70BB"/>
    <w:rsid w:val="00AA74FD"/>
    <w:rsid w:val="00AA757C"/>
    <w:rsid w:val="00AA7F10"/>
    <w:rsid w:val="00AB0209"/>
    <w:rsid w:val="00AB0391"/>
    <w:rsid w:val="00AB090B"/>
    <w:rsid w:val="00AB0F6F"/>
    <w:rsid w:val="00AB202F"/>
    <w:rsid w:val="00AB2033"/>
    <w:rsid w:val="00AB2089"/>
    <w:rsid w:val="00AB2151"/>
    <w:rsid w:val="00AB2C59"/>
    <w:rsid w:val="00AB2C8A"/>
    <w:rsid w:val="00AB4142"/>
    <w:rsid w:val="00AB42B6"/>
    <w:rsid w:val="00AB470E"/>
    <w:rsid w:val="00AB4C76"/>
    <w:rsid w:val="00AB4D67"/>
    <w:rsid w:val="00AB545D"/>
    <w:rsid w:val="00AB54D7"/>
    <w:rsid w:val="00AB56D4"/>
    <w:rsid w:val="00AB57D3"/>
    <w:rsid w:val="00AB5CAB"/>
    <w:rsid w:val="00AB61F6"/>
    <w:rsid w:val="00AB6886"/>
    <w:rsid w:val="00AB68E4"/>
    <w:rsid w:val="00AB6AE4"/>
    <w:rsid w:val="00AB6E00"/>
    <w:rsid w:val="00AB6F37"/>
    <w:rsid w:val="00AB769E"/>
    <w:rsid w:val="00AB7D55"/>
    <w:rsid w:val="00AC0681"/>
    <w:rsid w:val="00AC0C0D"/>
    <w:rsid w:val="00AC0ED0"/>
    <w:rsid w:val="00AC154B"/>
    <w:rsid w:val="00AC1B72"/>
    <w:rsid w:val="00AC1CFC"/>
    <w:rsid w:val="00AC26FE"/>
    <w:rsid w:val="00AC2BE4"/>
    <w:rsid w:val="00AC3385"/>
    <w:rsid w:val="00AC350D"/>
    <w:rsid w:val="00AC3568"/>
    <w:rsid w:val="00AC360A"/>
    <w:rsid w:val="00AC3CF2"/>
    <w:rsid w:val="00AC47EC"/>
    <w:rsid w:val="00AC4A0C"/>
    <w:rsid w:val="00AC4E5D"/>
    <w:rsid w:val="00AC58AF"/>
    <w:rsid w:val="00AC5E1A"/>
    <w:rsid w:val="00AC66BE"/>
    <w:rsid w:val="00AC67B2"/>
    <w:rsid w:val="00AC6C53"/>
    <w:rsid w:val="00AC6E05"/>
    <w:rsid w:val="00AC6E7B"/>
    <w:rsid w:val="00AC6E85"/>
    <w:rsid w:val="00AC7160"/>
    <w:rsid w:val="00AC7284"/>
    <w:rsid w:val="00AC7890"/>
    <w:rsid w:val="00AC7CE6"/>
    <w:rsid w:val="00AD0828"/>
    <w:rsid w:val="00AD08B3"/>
    <w:rsid w:val="00AD0B13"/>
    <w:rsid w:val="00AD0DC0"/>
    <w:rsid w:val="00AD0E1F"/>
    <w:rsid w:val="00AD0E69"/>
    <w:rsid w:val="00AD103D"/>
    <w:rsid w:val="00AD104B"/>
    <w:rsid w:val="00AD159C"/>
    <w:rsid w:val="00AD15FB"/>
    <w:rsid w:val="00AD17FA"/>
    <w:rsid w:val="00AD19EC"/>
    <w:rsid w:val="00AD208E"/>
    <w:rsid w:val="00AD25B9"/>
    <w:rsid w:val="00AD270C"/>
    <w:rsid w:val="00AD2717"/>
    <w:rsid w:val="00AD36BD"/>
    <w:rsid w:val="00AD38F1"/>
    <w:rsid w:val="00AD3DC4"/>
    <w:rsid w:val="00AD3F4B"/>
    <w:rsid w:val="00AD4525"/>
    <w:rsid w:val="00AD47B5"/>
    <w:rsid w:val="00AD4922"/>
    <w:rsid w:val="00AD4FF4"/>
    <w:rsid w:val="00AD5195"/>
    <w:rsid w:val="00AD531D"/>
    <w:rsid w:val="00AD5F8A"/>
    <w:rsid w:val="00AD600C"/>
    <w:rsid w:val="00AD601A"/>
    <w:rsid w:val="00AD63D6"/>
    <w:rsid w:val="00AD63EE"/>
    <w:rsid w:val="00AD6CD5"/>
    <w:rsid w:val="00AD733B"/>
    <w:rsid w:val="00AD76C7"/>
    <w:rsid w:val="00AD7B2A"/>
    <w:rsid w:val="00AD7CA7"/>
    <w:rsid w:val="00AE0040"/>
    <w:rsid w:val="00AE02E5"/>
    <w:rsid w:val="00AE0333"/>
    <w:rsid w:val="00AE184D"/>
    <w:rsid w:val="00AE1C03"/>
    <w:rsid w:val="00AE1F27"/>
    <w:rsid w:val="00AE20F9"/>
    <w:rsid w:val="00AE23AF"/>
    <w:rsid w:val="00AE23E3"/>
    <w:rsid w:val="00AE26BE"/>
    <w:rsid w:val="00AE29EE"/>
    <w:rsid w:val="00AE29EF"/>
    <w:rsid w:val="00AE2F65"/>
    <w:rsid w:val="00AE302A"/>
    <w:rsid w:val="00AE317E"/>
    <w:rsid w:val="00AE35A5"/>
    <w:rsid w:val="00AE3DEF"/>
    <w:rsid w:val="00AE4401"/>
    <w:rsid w:val="00AE4536"/>
    <w:rsid w:val="00AE466F"/>
    <w:rsid w:val="00AE4E2A"/>
    <w:rsid w:val="00AE4E5A"/>
    <w:rsid w:val="00AE5998"/>
    <w:rsid w:val="00AE5CF9"/>
    <w:rsid w:val="00AE5D4C"/>
    <w:rsid w:val="00AE5DB6"/>
    <w:rsid w:val="00AE68BB"/>
    <w:rsid w:val="00AE6C3C"/>
    <w:rsid w:val="00AE6CC8"/>
    <w:rsid w:val="00AE702E"/>
    <w:rsid w:val="00AE7061"/>
    <w:rsid w:val="00AE7064"/>
    <w:rsid w:val="00AE73AD"/>
    <w:rsid w:val="00AE73E0"/>
    <w:rsid w:val="00AE77CC"/>
    <w:rsid w:val="00AE7E6B"/>
    <w:rsid w:val="00AF03C0"/>
    <w:rsid w:val="00AF055A"/>
    <w:rsid w:val="00AF166F"/>
    <w:rsid w:val="00AF1C03"/>
    <w:rsid w:val="00AF1CC9"/>
    <w:rsid w:val="00AF1FF9"/>
    <w:rsid w:val="00AF26F4"/>
    <w:rsid w:val="00AF39AF"/>
    <w:rsid w:val="00AF3AED"/>
    <w:rsid w:val="00AF3BF6"/>
    <w:rsid w:val="00AF3E3B"/>
    <w:rsid w:val="00AF3E5A"/>
    <w:rsid w:val="00AF3F23"/>
    <w:rsid w:val="00AF44C6"/>
    <w:rsid w:val="00AF44D0"/>
    <w:rsid w:val="00AF4674"/>
    <w:rsid w:val="00AF46FE"/>
    <w:rsid w:val="00AF486F"/>
    <w:rsid w:val="00AF4901"/>
    <w:rsid w:val="00AF521E"/>
    <w:rsid w:val="00AF535D"/>
    <w:rsid w:val="00AF53C3"/>
    <w:rsid w:val="00AF5442"/>
    <w:rsid w:val="00AF548B"/>
    <w:rsid w:val="00AF54F4"/>
    <w:rsid w:val="00AF55E0"/>
    <w:rsid w:val="00AF562E"/>
    <w:rsid w:val="00AF5633"/>
    <w:rsid w:val="00AF5666"/>
    <w:rsid w:val="00AF5870"/>
    <w:rsid w:val="00AF5B2D"/>
    <w:rsid w:val="00AF5D5F"/>
    <w:rsid w:val="00AF6619"/>
    <w:rsid w:val="00AF6CFD"/>
    <w:rsid w:val="00AF71E4"/>
    <w:rsid w:val="00AF7925"/>
    <w:rsid w:val="00AF7DC1"/>
    <w:rsid w:val="00B000AE"/>
    <w:rsid w:val="00B0040B"/>
    <w:rsid w:val="00B005C6"/>
    <w:rsid w:val="00B00830"/>
    <w:rsid w:val="00B008DF"/>
    <w:rsid w:val="00B00AB5"/>
    <w:rsid w:val="00B00CC0"/>
    <w:rsid w:val="00B00F5C"/>
    <w:rsid w:val="00B01088"/>
    <w:rsid w:val="00B017F5"/>
    <w:rsid w:val="00B019C1"/>
    <w:rsid w:val="00B01C49"/>
    <w:rsid w:val="00B0236E"/>
    <w:rsid w:val="00B02506"/>
    <w:rsid w:val="00B0250B"/>
    <w:rsid w:val="00B02ACE"/>
    <w:rsid w:val="00B02DFF"/>
    <w:rsid w:val="00B0370F"/>
    <w:rsid w:val="00B03913"/>
    <w:rsid w:val="00B03B96"/>
    <w:rsid w:val="00B04CEA"/>
    <w:rsid w:val="00B04DAC"/>
    <w:rsid w:val="00B05210"/>
    <w:rsid w:val="00B0555B"/>
    <w:rsid w:val="00B05600"/>
    <w:rsid w:val="00B05607"/>
    <w:rsid w:val="00B05A08"/>
    <w:rsid w:val="00B05C6F"/>
    <w:rsid w:val="00B05E82"/>
    <w:rsid w:val="00B05F14"/>
    <w:rsid w:val="00B05F15"/>
    <w:rsid w:val="00B06737"/>
    <w:rsid w:val="00B06B2E"/>
    <w:rsid w:val="00B06E2E"/>
    <w:rsid w:val="00B07572"/>
    <w:rsid w:val="00B0784C"/>
    <w:rsid w:val="00B078B0"/>
    <w:rsid w:val="00B07CE9"/>
    <w:rsid w:val="00B101D5"/>
    <w:rsid w:val="00B102C7"/>
    <w:rsid w:val="00B10503"/>
    <w:rsid w:val="00B10633"/>
    <w:rsid w:val="00B10AB5"/>
    <w:rsid w:val="00B10B08"/>
    <w:rsid w:val="00B1108D"/>
    <w:rsid w:val="00B11828"/>
    <w:rsid w:val="00B11A78"/>
    <w:rsid w:val="00B11CFB"/>
    <w:rsid w:val="00B12111"/>
    <w:rsid w:val="00B12360"/>
    <w:rsid w:val="00B1264F"/>
    <w:rsid w:val="00B13596"/>
    <w:rsid w:val="00B13B9A"/>
    <w:rsid w:val="00B13E18"/>
    <w:rsid w:val="00B13EBE"/>
    <w:rsid w:val="00B13F15"/>
    <w:rsid w:val="00B14109"/>
    <w:rsid w:val="00B1426C"/>
    <w:rsid w:val="00B14410"/>
    <w:rsid w:val="00B14601"/>
    <w:rsid w:val="00B1486D"/>
    <w:rsid w:val="00B14A2D"/>
    <w:rsid w:val="00B14D34"/>
    <w:rsid w:val="00B150D6"/>
    <w:rsid w:val="00B1511D"/>
    <w:rsid w:val="00B15373"/>
    <w:rsid w:val="00B15639"/>
    <w:rsid w:val="00B1566B"/>
    <w:rsid w:val="00B156E1"/>
    <w:rsid w:val="00B1581A"/>
    <w:rsid w:val="00B15AF4"/>
    <w:rsid w:val="00B15D15"/>
    <w:rsid w:val="00B15E42"/>
    <w:rsid w:val="00B15EEE"/>
    <w:rsid w:val="00B16198"/>
    <w:rsid w:val="00B16826"/>
    <w:rsid w:val="00B1699F"/>
    <w:rsid w:val="00B16A2C"/>
    <w:rsid w:val="00B16FB6"/>
    <w:rsid w:val="00B17022"/>
    <w:rsid w:val="00B2143A"/>
    <w:rsid w:val="00B21666"/>
    <w:rsid w:val="00B21736"/>
    <w:rsid w:val="00B218B1"/>
    <w:rsid w:val="00B219B0"/>
    <w:rsid w:val="00B21A33"/>
    <w:rsid w:val="00B21CA4"/>
    <w:rsid w:val="00B22180"/>
    <w:rsid w:val="00B22272"/>
    <w:rsid w:val="00B22311"/>
    <w:rsid w:val="00B224AA"/>
    <w:rsid w:val="00B225D3"/>
    <w:rsid w:val="00B22998"/>
    <w:rsid w:val="00B229FE"/>
    <w:rsid w:val="00B22A49"/>
    <w:rsid w:val="00B22D8C"/>
    <w:rsid w:val="00B2302B"/>
    <w:rsid w:val="00B230AA"/>
    <w:rsid w:val="00B24363"/>
    <w:rsid w:val="00B2456E"/>
    <w:rsid w:val="00B24898"/>
    <w:rsid w:val="00B24979"/>
    <w:rsid w:val="00B24DA0"/>
    <w:rsid w:val="00B24DA4"/>
    <w:rsid w:val="00B250A5"/>
    <w:rsid w:val="00B25651"/>
    <w:rsid w:val="00B2597B"/>
    <w:rsid w:val="00B25E59"/>
    <w:rsid w:val="00B26309"/>
    <w:rsid w:val="00B2660E"/>
    <w:rsid w:val="00B266CA"/>
    <w:rsid w:val="00B26937"/>
    <w:rsid w:val="00B2700E"/>
    <w:rsid w:val="00B27A78"/>
    <w:rsid w:val="00B301D9"/>
    <w:rsid w:val="00B30243"/>
    <w:rsid w:val="00B30421"/>
    <w:rsid w:val="00B30489"/>
    <w:rsid w:val="00B3083D"/>
    <w:rsid w:val="00B30A46"/>
    <w:rsid w:val="00B30C1A"/>
    <w:rsid w:val="00B30DC8"/>
    <w:rsid w:val="00B30EB3"/>
    <w:rsid w:val="00B31427"/>
    <w:rsid w:val="00B315BB"/>
    <w:rsid w:val="00B31977"/>
    <w:rsid w:val="00B31B73"/>
    <w:rsid w:val="00B3235A"/>
    <w:rsid w:val="00B326CB"/>
    <w:rsid w:val="00B32F5A"/>
    <w:rsid w:val="00B33062"/>
    <w:rsid w:val="00B333FE"/>
    <w:rsid w:val="00B3382B"/>
    <w:rsid w:val="00B347E3"/>
    <w:rsid w:val="00B35094"/>
    <w:rsid w:val="00B350F0"/>
    <w:rsid w:val="00B357AC"/>
    <w:rsid w:val="00B35968"/>
    <w:rsid w:val="00B35992"/>
    <w:rsid w:val="00B35E4B"/>
    <w:rsid w:val="00B35FCC"/>
    <w:rsid w:val="00B35FE6"/>
    <w:rsid w:val="00B360C9"/>
    <w:rsid w:val="00B363F7"/>
    <w:rsid w:val="00B36518"/>
    <w:rsid w:val="00B36F15"/>
    <w:rsid w:val="00B370DB"/>
    <w:rsid w:val="00B37242"/>
    <w:rsid w:val="00B37312"/>
    <w:rsid w:val="00B378CC"/>
    <w:rsid w:val="00B4073E"/>
    <w:rsid w:val="00B40763"/>
    <w:rsid w:val="00B40995"/>
    <w:rsid w:val="00B40B4E"/>
    <w:rsid w:val="00B41615"/>
    <w:rsid w:val="00B41D70"/>
    <w:rsid w:val="00B41DC6"/>
    <w:rsid w:val="00B41FD8"/>
    <w:rsid w:val="00B420DF"/>
    <w:rsid w:val="00B428E2"/>
    <w:rsid w:val="00B42A2C"/>
    <w:rsid w:val="00B42A5C"/>
    <w:rsid w:val="00B42A98"/>
    <w:rsid w:val="00B42C64"/>
    <w:rsid w:val="00B42E48"/>
    <w:rsid w:val="00B4329D"/>
    <w:rsid w:val="00B436B4"/>
    <w:rsid w:val="00B43B2D"/>
    <w:rsid w:val="00B4448C"/>
    <w:rsid w:val="00B448EF"/>
    <w:rsid w:val="00B449E0"/>
    <w:rsid w:val="00B44D9B"/>
    <w:rsid w:val="00B44ED3"/>
    <w:rsid w:val="00B45EF1"/>
    <w:rsid w:val="00B45FF5"/>
    <w:rsid w:val="00B46E53"/>
    <w:rsid w:val="00B4738A"/>
    <w:rsid w:val="00B473AC"/>
    <w:rsid w:val="00B4743E"/>
    <w:rsid w:val="00B47493"/>
    <w:rsid w:val="00B474C8"/>
    <w:rsid w:val="00B474DF"/>
    <w:rsid w:val="00B476D8"/>
    <w:rsid w:val="00B47915"/>
    <w:rsid w:val="00B47E91"/>
    <w:rsid w:val="00B509D5"/>
    <w:rsid w:val="00B509EB"/>
    <w:rsid w:val="00B50BA9"/>
    <w:rsid w:val="00B50E18"/>
    <w:rsid w:val="00B51224"/>
    <w:rsid w:val="00B513A9"/>
    <w:rsid w:val="00B51568"/>
    <w:rsid w:val="00B51610"/>
    <w:rsid w:val="00B5167B"/>
    <w:rsid w:val="00B51A64"/>
    <w:rsid w:val="00B520E3"/>
    <w:rsid w:val="00B520EF"/>
    <w:rsid w:val="00B52336"/>
    <w:rsid w:val="00B525F6"/>
    <w:rsid w:val="00B526AD"/>
    <w:rsid w:val="00B52E03"/>
    <w:rsid w:val="00B53408"/>
    <w:rsid w:val="00B5343E"/>
    <w:rsid w:val="00B5388C"/>
    <w:rsid w:val="00B53AC2"/>
    <w:rsid w:val="00B53E1C"/>
    <w:rsid w:val="00B53FD9"/>
    <w:rsid w:val="00B540CA"/>
    <w:rsid w:val="00B540EC"/>
    <w:rsid w:val="00B54484"/>
    <w:rsid w:val="00B544C8"/>
    <w:rsid w:val="00B54533"/>
    <w:rsid w:val="00B552A1"/>
    <w:rsid w:val="00B552E7"/>
    <w:rsid w:val="00B55C4D"/>
    <w:rsid w:val="00B55CED"/>
    <w:rsid w:val="00B55D57"/>
    <w:rsid w:val="00B55E59"/>
    <w:rsid w:val="00B55E9D"/>
    <w:rsid w:val="00B55F77"/>
    <w:rsid w:val="00B55F80"/>
    <w:rsid w:val="00B563B8"/>
    <w:rsid w:val="00B56480"/>
    <w:rsid w:val="00B565D6"/>
    <w:rsid w:val="00B569ED"/>
    <w:rsid w:val="00B56C10"/>
    <w:rsid w:val="00B56E0D"/>
    <w:rsid w:val="00B576A4"/>
    <w:rsid w:val="00B57998"/>
    <w:rsid w:val="00B57CD0"/>
    <w:rsid w:val="00B57DA9"/>
    <w:rsid w:val="00B60177"/>
    <w:rsid w:val="00B60639"/>
    <w:rsid w:val="00B607D9"/>
    <w:rsid w:val="00B61D72"/>
    <w:rsid w:val="00B62B72"/>
    <w:rsid w:val="00B6308E"/>
    <w:rsid w:val="00B63A58"/>
    <w:rsid w:val="00B63D58"/>
    <w:rsid w:val="00B63F48"/>
    <w:rsid w:val="00B64600"/>
    <w:rsid w:val="00B64CD0"/>
    <w:rsid w:val="00B64E8A"/>
    <w:rsid w:val="00B654BF"/>
    <w:rsid w:val="00B65588"/>
    <w:rsid w:val="00B655EF"/>
    <w:rsid w:val="00B65763"/>
    <w:rsid w:val="00B658D1"/>
    <w:rsid w:val="00B65B33"/>
    <w:rsid w:val="00B65C55"/>
    <w:rsid w:val="00B66064"/>
    <w:rsid w:val="00B667C5"/>
    <w:rsid w:val="00B6686D"/>
    <w:rsid w:val="00B66995"/>
    <w:rsid w:val="00B66E5B"/>
    <w:rsid w:val="00B671A1"/>
    <w:rsid w:val="00B67308"/>
    <w:rsid w:val="00B675A6"/>
    <w:rsid w:val="00B6794D"/>
    <w:rsid w:val="00B67AEE"/>
    <w:rsid w:val="00B67B55"/>
    <w:rsid w:val="00B67B86"/>
    <w:rsid w:val="00B67C6C"/>
    <w:rsid w:val="00B70524"/>
    <w:rsid w:val="00B7055F"/>
    <w:rsid w:val="00B70C61"/>
    <w:rsid w:val="00B70E5A"/>
    <w:rsid w:val="00B70E99"/>
    <w:rsid w:val="00B71CB2"/>
    <w:rsid w:val="00B7220D"/>
    <w:rsid w:val="00B7268B"/>
    <w:rsid w:val="00B726C1"/>
    <w:rsid w:val="00B7285B"/>
    <w:rsid w:val="00B72B0E"/>
    <w:rsid w:val="00B72DEB"/>
    <w:rsid w:val="00B732B1"/>
    <w:rsid w:val="00B739AD"/>
    <w:rsid w:val="00B749B6"/>
    <w:rsid w:val="00B7509A"/>
    <w:rsid w:val="00B750C2"/>
    <w:rsid w:val="00B75576"/>
    <w:rsid w:val="00B7613E"/>
    <w:rsid w:val="00B766AF"/>
    <w:rsid w:val="00B766C1"/>
    <w:rsid w:val="00B76966"/>
    <w:rsid w:val="00B76B96"/>
    <w:rsid w:val="00B76BB7"/>
    <w:rsid w:val="00B76D4B"/>
    <w:rsid w:val="00B76EFB"/>
    <w:rsid w:val="00B77129"/>
    <w:rsid w:val="00B77424"/>
    <w:rsid w:val="00B77C37"/>
    <w:rsid w:val="00B77CEC"/>
    <w:rsid w:val="00B8036C"/>
    <w:rsid w:val="00B807BF"/>
    <w:rsid w:val="00B809B1"/>
    <w:rsid w:val="00B80CA3"/>
    <w:rsid w:val="00B80D85"/>
    <w:rsid w:val="00B81AF6"/>
    <w:rsid w:val="00B82430"/>
    <w:rsid w:val="00B82543"/>
    <w:rsid w:val="00B827E8"/>
    <w:rsid w:val="00B82998"/>
    <w:rsid w:val="00B8317E"/>
    <w:rsid w:val="00B834B0"/>
    <w:rsid w:val="00B83507"/>
    <w:rsid w:val="00B837B6"/>
    <w:rsid w:val="00B837F6"/>
    <w:rsid w:val="00B83DAE"/>
    <w:rsid w:val="00B83EBD"/>
    <w:rsid w:val="00B83F7B"/>
    <w:rsid w:val="00B83F86"/>
    <w:rsid w:val="00B84FB4"/>
    <w:rsid w:val="00B85340"/>
    <w:rsid w:val="00B85A58"/>
    <w:rsid w:val="00B85E2B"/>
    <w:rsid w:val="00B864E6"/>
    <w:rsid w:val="00B86735"/>
    <w:rsid w:val="00B86F2A"/>
    <w:rsid w:val="00B873D3"/>
    <w:rsid w:val="00B8756E"/>
    <w:rsid w:val="00B8792E"/>
    <w:rsid w:val="00B87B3E"/>
    <w:rsid w:val="00B87DF9"/>
    <w:rsid w:val="00B87ECF"/>
    <w:rsid w:val="00B90E34"/>
    <w:rsid w:val="00B90ED9"/>
    <w:rsid w:val="00B91951"/>
    <w:rsid w:val="00B91A58"/>
    <w:rsid w:val="00B91EAD"/>
    <w:rsid w:val="00B920B9"/>
    <w:rsid w:val="00B92176"/>
    <w:rsid w:val="00B92774"/>
    <w:rsid w:val="00B930D2"/>
    <w:rsid w:val="00B932F1"/>
    <w:rsid w:val="00B936C5"/>
    <w:rsid w:val="00B937CD"/>
    <w:rsid w:val="00B938BC"/>
    <w:rsid w:val="00B9397A"/>
    <w:rsid w:val="00B93997"/>
    <w:rsid w:val="00B93C98"/>
    <w:rsid w:val="00B94413"/>
    <w:rsid w:val="00B94544"/>
    <w:rsid w:val="00B94B88"/>
    <w:rsid w:val="00B94C7E"/>
    <w:rsid w:val="00B958AB"/>
    <w:rsid w:val="00B95F2F"/>
    <w:rsid w:val="00B96809"/>
    <w:rsid w:val="00B976BB"/>
    <w:rsid w:val="00B97943"/>
    <w:rsid w:val="00B97EA6"/>
    <w:rsid w:val="00B97F58"/>
    <w:rsid w:val="00BA01A7"/>
    <w:rsid w:val="00BA0224"/>
    <w:rsid w:val="00BA05C8"/>
    <w:rsid w:val="00BA0624"/>
    <w:rsid w:val="00BA09AA"/>
    <w:rsid w:val="00BA0AD5"/>
    <w:rsid w:val="00BA0CA0"/>
    <w:rsid w:val="00BA0E3C"/>
    <w:rsid w:val="00BA103E"/>
    <w:rsid w:val="00BA10BF"/>
    <w:rsid w:val="00BA13F2"/>
    <w:rsid w:val="00BA18AD"/>
    <w:rsid w:val="00BA1E78"/>
    <w:rsid w:val="00BA1F74"/>
    <w:rsid w:val="00BA1FE7"/>
    <w:rsid w:val="00BA270F"/>
    <w:rsid w:val="00BA27DA"/>
    <w:rsid w:val="00BA2B1D"/>
    <w:rsid w:val="00BA31B1"/>
    <w:rsid w:val="00BA38CE"/>
    <w:rsid w:val="00BA3BE2"/>
    <w:rsid w:val="00BA3D14"/>
    <w:rsid w:val="00BA435A"/>
    <w:rsid w:val="00BA4DCD"/>
    <w:rsid w:val="00BA54BA"/>
    <w:rsid w:val="00BA5603"/>
    <w:rsid w:val="00BA56D9"/>
    <w:rsid w:val="00BA585B"/>
    <w:rsid w:val="00BA59AE"/>
    <w:rsid w:val="00BA6194"/>
    <w:rsid w:val="00BA62C6"/>
    <w:rsid w:val="00BA642F"/>
    <w:rsid w:val="00BA663C"/>
    <w:rsid w:val="00BA775A"/>
    <w:rsid w:val="00BA7A0E"/>
    <w:rsid w:val="00BA7EEE"/>
    <w:rsid w:val="00BB00AF"/>
    <w:rsid w:val="00BB04C2"/>
    <w:rsid w:val="00BB0F2C"/>
    <w:rsid w:val="00BB16F8"/>
    <w:rsid w:val="00BB1ABE"/>
    <w:rsid w:val="00BB1EB2"/>
    <w:rsid w:val="00BB2008"/>
    <w:rsid w:val="00BB2146"/>
    <w:rsid w:val="00BB29DF"/>
    <w:rsid w:val="00BB2CFC"/>
    <w:rsid w:val="00BB30CF"/>
    <w:rsid w:val="00BB30FB"/>
    <w:rsid w:val="00BB34DC"/>
    <w:rsid w:val="00BB35D0"/>
    <w:rsid w:val="00BB3877"/>
    <w:rsid w:val="00BB3AC4"/>
    <w:rsid w:val="00BB3AE8"/>
    <w:rsid w:val="00BB4980"/>
    <w:rsid w:val="00BB4999"/>
    <w:rsid w:val="00BB4BCD"/>
    <w:rsid w:val="00BB52EB"/>
    <w:rsid w:val="00BB56C7"/>
    <w:rsid w:val="00BB5B62"/>
    <w:rsid w:val="00BB5DEA"/>
    <w:rsid w:val="00BB6502"/>
    <w:rsid w:val="00BB6BCD"/>
    <w:rsid w:val="00BB6C49"/>
    <w:rsid w:val="00BB70F9"/>
    <w:rsid w:val="00BB710E"/>
    <w:rsid w:val="00BB7204"/>
    <w:rsid w:val="00BB7799"/>
    <w:rsid w:val="00BB7AC9"/>
    <w:rsid w:val="00BB7C9B"/>
    <w:rsid w:val="00BC0691"/>
    <w:rsid w:val="00BC0B6C"/>
    <w:rsid w:val="00BC111A"/>
    <w:rsid w:val="00BC140D"/>
    <w:rsid w:val="00BC1527"/>
    <w:rsid w:val="00BC1A03"/>
    <w:rsid w:val="00BC2306"/>
    <w:rsid w:val="00BC23BF"/>
    <w:rsid w:val="00BC2826"/>
    <w:rsid w:val="00BC2F0E"/>
    <w:rsid w:val="00BC2F31"/>
    <w:rsid w:val="00BC3113"/>
    <w:rsid w:val="00BC3225"/>
    <w:rsid w:val="00BC342C"/>
    <w:rsid w:val="00BC3ADB"/>
    <w:rsid w:val="00BC3BDB"/>
    <w:rsid w:val="00BC4036"/>
    <w:rsid w:val="00BC45BA"/>
    <w:rsid w:val="00BC4F0A"/>
    <w:rsid w:val="00BC509F"/>
    <w:rsid w:val="00BC5193"/>
    <w:rsid w:val="00BC51D2"/>
    <w:rsid w:val="00BC526F"/>
    <w:rsid w:val="00BC589D"/>
    <w:rsid w:val="00BC5EC8"/>
    <w:rsid w:val="00BC64BE"/>
    <w:rsid w:val="00BC6DC4"/>
    <w:rsid w:val="00BC6EB7"/>
    <w:rsid w:val="00BC7155"/>
    <w:rsid w:val="00BC7550"/>
    <w:rsid w:val="00BC79A4"/>
    <w:rsid w:val="00BC7A4A"/>
    <w:rsid w:val="00BC7EA4"/>
    <w:rsid w:val="00BD0B72"/>
    <w:rsid w:val="00BD110D"/>
    <w:rsid w:val="00BD11E1"/>
    <w:rsid w:val="00BD13E0"/>
    <w:rsid w:val="00BD1822"/>
    <w:rsid w:val="00BD19BC"/>
    <w:rsid w:val="00BD1F58"/>
    <w:rsid w:val="00BD2668"/>
    <w:rsid w:val="00BD3924"/>
    <w:rsid w:val="00BD3AC6"/>
    <w:rsid w:val="00BD409B"/>
    <w:rsid w:val="00BD450F"/>
    <w:rsid w:val="00BD4512"/>
    <w:rsid w:val="00BD4DAD"/>
    <w:rsid w:val="00BD52AA"/>
    <w:rsid w:val="00BD5A76"/>
    <w:rsid w:val="00BD61FB"/>
    <w:rsid w:val="00BD6BCC"/>
    <w:rsid w:val="00BD70C4"/>
    <w:rsid w:val="00BD7336"/>
    <w:rsid w:val="00BD749F"/>
    <w:rsid w:val="00BD74B4"/>
    <w:rsid w:val="00BD7898"/>
    <w:rsid w:val="00BE0497"/>
    <w:rsid w:val="00BE056F"/>
    <w:rsid w:val="00BE0CA4"/>
    <w:rsid w:val="00BE1061"/>
    <w:rsid w:val="00BE1285"/>
    <w:rsid w:val="00BE1321"/>
    <w:rsid w:val="00BE144C"/>
    <w:rsid w:val="00BE1839"/>
    <w:rsid w:val="00BE2893"/>
    <w:rsid w:val="00BE2939"/>
    <w:rsid w:val="00BE2EB4"/>
    <w:rsid w:val="00BE2F5A"/>
    <w:rsid w:val="00BE3216"/>
    <w:rsid w:val="00BE37D3"/>
    <w:rsid w:val="00BE3D3E"/>
    <w:rsid w:val="00BE3EF7"/>
    <w:rsid w:val="00BE4BD5"/>
    <w:rsid w:val="00BE4CCD"/>
    <w:rsid w:val="00BE522A"/>
    <w:rsid w:val="00BE57B5"/>
    <w:rsid w:val="00BE5A26"/>
    <w:rsid w:val="00BE60F0"/>
    <w:rsid w:val="00BE6571"/>
    <w:rsid w:val="00BE78AE"/>
    <w:rsid w:val="00BE7A7C"/>
    <w:rsid w:val="00BF0015"/>
    <w:rsid w:val="00BF029B"/>
    <w:rsid w:val="00BF0A44"/>
    <w:rsid w:val="00BF0CEC"/>
    <w:rsid w:val="00BF1A44"/>
    <w:rsid w:val="00BF1EDF"/>
    <w:rsid w:val="00BF3103"/>
    <w:rsid w:val="00BF3955"/>
    <w:rsid w:val="00BF4081"/>
    <w:rsid w:val="00BF42B4"/>
    <w:rsid w:val="00BF42CB"/>
    <w:rsid w:val="00BF487A"/>
    <w:rsid w:val="00BF4A61"/>
    <w:rsid w:val="00BF4C17"/>
    <w:rsid w:val="00BF4D3D"/>
    <w:rsid w:val="00BF56C6"/>
    <w:rsid w:val="00BF5732"/>
    <w:rsid w:val="00BF5B8C"/>
    <w:rsid w:val="00BF5B90"/>
    <w:rsid w:val="00BF5C30"/>
    <w:rsid w:val="00BF6162"/>
    <w:rsid w:val="00BF66B7"/>
    <w:rsid w:val="00BF6A68"/>
    <w:rsid w:val="00BF6FC6"/>
    <w:rsid w:val="00BF7152"/>
    <w:rsid w:val="00BF7254"/>
    <w:rsid w:val="00BF727E"/>
    <w:rsid w:val="00BF73F0"/>
    <w:rsid w:val="00BF75B1"/>
    <w:rsid w:val="00BF75C9"/>
    <w:rsid w:val="00BF7BD3"/>
    <w:rsid w:val="00BF7D56"/>
    <w:rsid w:val="00C00352"/>
    <w:rsid w:val="00C007CE"/>
    <w:rsid w:val="00C00A22"/>
    <w:rsid w:val="00C00F18"/>
    <w:rsid w:val="00C01D2C"/>
    <w:rsid w:val="00C01D39"/>
    <w:rsid w:val="00C0200C"/>
    <w:rsid w:val="00C020A8"/>
    <w:rsid w:val="00C034A4"/>
    <w:rsid w:val="00C03DD0"/>
    <w:rsid w:val="00C0414D"/>
    <w:rsid w:val="00C04188"/>
    <w:rsid w:val="00C04445"/>
    <w:rsid w:val="00C046A4"/>
    <w:rsid w:val="00C04705"/>
    <w:rsid w:val="00C049FA"/>
    <w:rsid w:val="00C04A7F"/>
    <w:rsid w:val="00C04C10"/>
    <w:rsid w:val="00C04E2B"/>
    <w:rsid w:val="00C05081"/>
    <w:rsid w:val="00C05197"/>
    <w:rsid w:val="00C051AA"/>
    <w:rsid w:val="00C052EC"/>
    <w:rsid w:val="00C0535C"/>
    <w:rsid w:val="00C05AAC"/>
    <w:rsid w:val="00C060A0"/>
    <w:rsid w:val="00C06BAC"/>
    <w:rsid w:val="00C06D84"/>
    <w:rsid w:val="00C07187"/>
    <w:rsid w:val="00C075C9"/>
    <w:rsid w:val="00C07639"/>
    <w:rsid w:val="00C07FAD"/>
    <w:rsid w:val="00C10603"/>
    <w:rsid w:val="00C106C4"/>
    <w:rsid w:val="00C10C2A"/>
    <w:rsid w:val="00C10C91"/>
    <w:rsid w:val="00C10EAC"/>
    <w:rsid w:val="00C1117D"/>
    <w:rsid w:val="00C111EA"/>
    <w:rsid w:val="00C11424"/>
    <w:rsid w:val="00C117E8"/>
    <w:rsid w:val="00C118F1"/>
    <w:rsid w:val="00C119AD"/>
    <w:rsid w:val="00C11ABA"/>
    <w:rsid w:val="00C11B20"/>
    <w:rsid w:val="00C1228D"/>
    <w:rsid w:val="00C123F3"/>
    <w:rsid w:val="00C12742"/>
    <w:rsid w:val="00C13040"/>
    <w:rsid w:val="00C1392D"/>
    <w:rsid w:val="00C13E9F"/>
    <w:rsid w:val="00C13FED"/>
    <w:rsid w:val="00C142ED"/>
    <w:rsid w:val="00C14446"/>
    <w:rsid w:val="00C14775"/>
    <w:rsid w:val="00C14E7D"/>
    <w:rsid w:val="00C1515A"/>
    <w:rsid w:val="00C154BB"/>
    <w:rsid w:val="00C15722"/>
    <w:rsid w:val="00C1599F"/>
    <w:rsid w:val="00C15C37"/>
    <w:rsid w:val="00C15C57"/>
    <w:rsid w:val="00C15F00"/>
    <w:rsid w:val="00C15F23"/>
    <w:rsid w:val="00C1632F"/>
    <w:rsid w:val="00C1683B"/>
    <w:rsid w:val="00C16897"/>
    <w:rsid w:val="00C16D0C"/>
    <w:rsid w:val="00C17653"/>
    <w:rsid w:val="00C200C9"/>
    <w:rsid w:val="00C200DF"/>
    <w:rsid w:val="00C2038E"/>
    <w:rsid w:val="00C204B4"/>
    <w:rsid w:val="00C2151D"/>
    <w:rsid w:val="00C218FD"/>
    <w:rsid w:val="00C21A79"/>
    <w:rsid w:val="00C21B8C"/>
    <w:rsid w:val="00C21D8E"/>
    <w:rsid w:val="00C22525"/>
    <w:rsid w:val="00C22530"/>
    <w:rsid w:val="00C23BF6"/>
    <w:rsid w:val="00C23DBB"/>
    <w:rsid w:val="00C23FE1"/>
    <w:rsid w:val="00C2410D"/>
    <w:rsid w:val="00C24775"/>
    <w:rsid w:val="00C24BAF"/>
    <w:rsid w:val="00C25DDF"/>
    <w:rsid w:val="00C25F8B"/>
    <w:rsid w:val="00C25FB5"/>
    <w:rsid w:val="00C265C0"/>
    <w:rsid w:val="00C2696E"/>
    <w:rsid w:val="00C26A84"/>
    <w:rsid w:val="00C26B9E"/>
    <w:rsid w:val="00C272EF"/>
    <w:rsid w:val="00C2732B"/>
    <w:rsid w:val="00C2753F"/>
    <w:rsid w:val="00C276A8"/>
    <w:rsid w:val="00C27841"/>
    <w:rsid w:val="00C27975"/>
    <w:rsid w:val="00C27A37"/>
    <w:rsid w:val="00C300BC"/>
    <w:rsid w:val="00C308E4"/>
    <w:rsid w:val="00C3096C"/>
    <w:rsid w:val="00C30C4B"/>
    <w:rsid w:val="00C30E88"/>
    <w:rsid w:val="00C30F29"/>
    <w:rsid w:val="00C318F7"/>
    <w:rsid w:val="00C319D2"/>
    <w:rsid w:val="00C31A7B"/>
    <w:rsid w:val="00C31C3E"/>
    <w:rsid w:val="00C31F85"/>
    <w:rsid w:val="00C32534"/>
    <w:rsid w:val="00C326EE"/>
    <w:rsid w:val="00C32933"/>
    <w:rsid w:val="00C32951"/>
    <w:rsid w:val="00C32BC1"/>
    <w:rsid w:val="00C32C02"/>
    <w:rsid w:val="00C33235"/>
    <w:rsid w:val="00C33456"/>
    <w:rsid w:val="00C33677"/>
    <w:rsid w:val="00C337E2"/>
    <w:rsid w:val="00C34137"/>
    <w:rsid w:val="00C343C4"/>
    <w:rsid w:val="00C3476B"/>
    <w:rsid w:val="00C34EB3"/>
    <w:rsid w:val="00C35240"/>
    <w:rsid w:val="00C35EA2"/>
    <w:rsid w:val="00C35FD0"/>
    <w:rsid w:val="00C36288"/>
    <w:rsid w:val="00C3672E"/>
    <w:rsid w:val="00C368B3"/>
    <w:rsid w:val="00C36F07"/>
    <w:rsid w:val="00C36F9E"/>
    <w:rsid w:val="00C37214"/>
    <w:rsid w:val="00C37299"/>
    <w:rsid w:val="00C372E8"/>
    <w:rsid w:val="00C379A5"/>
    <w:rsid w:val="00C37CB5"/>
    <w:rsid w:val="00C407B5"/>
    <w:rsid w:val="00C409DC"/>
    <w:rsid w:val="00C40B1B"/>
    <w:rsid w:val="00C40C32"/>
    <w:rsid w:val="00C40E88"/>
    <w:rsid w:val="00C4110C"/>
    <w:rsid w:val="00C41417"/>
    <w:rsid w:val="00C41516"/>
    <w:rsid w:val="00C416A3"/>
    <w:rsid w:val="00C41785"/>
    <w:rsid w:val="00C418DA"/>
    <w:rsid w:val="00C41C0E"/>
    <w:rsid w:val="00C41E31"/>
    <w:rsid w:val="00C41FC1"/>
    <w:rsid w:val="00C422CF"/>
    <w:rsid w:val="00C42336"/>
    <w:rsid w:val="00C42D29"/>
    <w:rsid w:val="00C43205"/>
    <w:rsid w:val="00C434C2"/>
    <w:rsid w:val="00C4372E"/>
    <w:rsid w:val="00C4386B"/>
    <w:rsid w:val="00C438D1"/>
    <w:rsid w:val="00C43940"/>
    <w:rsid w:val="00C44342"/>
    <w:rsid w:val="00C44694"/>
    <w:rsid w:val="00C44744"/>
    <w:rsid w:val="00C44845"/>
    <w:rsid w:val="00C44A94"/>
    <w:rsid w:val="00C44B7F"/>
    <w:rsid w:val="00C457C1"/>
    <w:rsid w:val="00C46625"/>
    <w:rsid w:val="00C46761"/>
    <w:rsid w:val="00C46870"/>
    <w:rsid w:val="00C46E8A"/>
    <w:rsid w:val="00C471F2"/>
    <w:rsid w:val="00C47545"/>
    <w:rsid w:val="00C47593"/>
    <w:rsid w:val="00C47671"/>
    <w:rsid w:val="00C47748"/>
    <w:rsid w:val="00C50291"/>
    <w:rsid w:val="00C5044B"/>
    <w:rsid w:val="00C506BD"/>
    <w:rsid w:val="00C50E55"/>
    <w:rsid w:val="00C510B0"/>
    <w:rsid w:val="00C51426"/>
    <w:rsid w:val="00C51622"/>
    <w:rsid w:val="00C51FB3"/>
    <w:rsid w:val="00C52087"/>
    <w:rsid w:val="00C5223C"/>
    <w:rsid w:val="00C52A35"/>
    <w:rsid w:val="00C52B31"/>
    <w:rsid w:val="00C52B95"/>
    <w:rsid w:val="00C53213"/>
    <w:rsid w:val="00C53917"/>
    <w:rsid w:val="00C53930"/>
    <w:rsid w:val="00C53B08"/>
    <w:rsid w:val="00C541DE"/>
    <w:rsid w:val="00C542B7"/>
    <w:rsid w:val="00C54C11"/>
    <w:rsid w:val="00C54C67"/>
    <w:rsid w:val="00C54E65"/>
    <w:rsid w:val="00C55649"/>
    <w:rsid w:val="00C558F7"/>
    <w:rsid w:val="00C55A01"/>
    <w:rsid w:val="00C55F0A"/>
    <w:rsid w:val="00C56311"/>
    <w:rsid w:val="00C56324"/>
    <w:rsid w:val="00C56521"/>
    <w:rsid w:val="00C5653B"/>
    <w:rsid w:val="00C565A3"/>
    <w:rsid w:val="00C56861"/>
    <w:rsid w:val="00C57266"/>
    <w:rsid w:val="00C577F7"/>
    <w:rsid w:val="00C604F1"/>
    <w:rsid w:val="00C60667"/>
    <w:rsid w:val="00C60AB7"/>
    <w:rsid w:val="00C615BE"/>
    <w:rsid w:val="00C619E8"/>
    <w:rsid w:val="00C61AB9"/>
    <w:rsid w:val="00C61F84"/>
    <w:rsid w:val="00C62701"/>
    <w:rsid w:val="00C62BC0"/>
    <w:rsid w:val="00C62D32"/>
    <w:rsid w:val="00C62FF7"/>
    <w:rsid w:val="00C630F3"/>
    <w:rsid w:val="00C63135"/>
    <w:rsid w:val="00C63205"/>
    <w:rsid w:val="00C637DC"/>
    <w:rsid w:val="00C63EE8"/>
    <w:rsid w:val="00C6432E"/>
    <w:rsid w:val="00C643EB"/>
    <w:rsid w:val="00C65546"/>
    <w:rsid w:val="00C656AD"/>
    <w:rsid w:val="00C65718"/>
    <w:rsid w:val="00C65C81"/>
    <w:rsid w:val="00C666DE"/>
    <w:rsid w:val="00C66772"/>
    <w:rsid w:val="00C66A80"/>
    <w:rsid w:val="00C66D2B"/>
    <w:rsid w:val="00C67580"/>
    <w:rsid w:val="00C675F5"/>
    <w:rsid w:val="00C6781C"/>
    <w:rsid w:val="00C67A53"/>
    <w:rsid w:val="00C67AF7"/>
    <w:rsid w:val="00C67EA1"/>
    <w:rsid w:val="00C70434"/>
    <w:rsid w:val="00C7053C"/>
    <w:rsid w:val="00C70AEE"/>
    <w:rsid w:val="00C70C27"/>
    <w:rsid w:val="00C7193D"/>
    <w:rsid w:val="00C71D15"/>
    <w:rsid w:val="00C71DBC"/>
    <w:rsid w:val="00C7234D"/>
    <w:rsid w:val="00C7244E"/>
    <w:rsid w:val="00C726C9"/>
    <w:rsid w:val="00C72801"/>
    <w:rsid w:val="00C72870"/>
    <w:rsid w:val="00C7298E"/>
    <w:rsid w:val="00C72C0A"/>
    <w:rsid w:val="00C7366E"/>
    <w:rsid w:val="00C739E3"/>
    <w:rsid w:val="00C73E67"/>
    <w:rsid w:val="00C73F97"/>
    <w:rsid w:val="00C73FAD"/>
    <w:rsid w:val="00C7414C"/>
    <w:rsid w:val="00C743D5"/>
    <w:rsid w:val="00C74AE1"/>
    <w:rsid w:val="00C757B8"/>
    <w:rsid w:val="00C759AC"/>
    <w:rsid w:val="00C76906"/>
    <w:rsid w:val="00C76A8E"/>
    <w:rsid w:val="00C76B7C"/>
    <w:rsid w:val="00C76CA7"/>
    <w:rsid w:val="00C76CC7"/>
    <w:rsid w:val="00C76F6E"/>
    <w:rsid w:val="00C76F81"/>
    <w:rsid w:val="00C776A4"/>
    <w:rsid w:val="00C77800"/>
    <w:rsid w:val="00C77F57"/>
    <w:rsid w:val="00C77FB2"/>
    <w:rsid w:val="00C800DD"/>
    <w:rsid w:val="00C80920"/>
    <w:rsid w:val="00C80B03"/>
    <w:rsid w:val="00C80B0B"/>
    <w:rsid w:val="00C80ECD"/>
    <w:rsid w:val="00C8124E"/>
    <w:rsid w:val="00C81690"/>
    <w:rsid w:val="00C8176E"/>
    <w:rsid w:val="00C81A96"/>
    <w:rsid w:val="00C81CBC"/>
    <w:rsid w:val="00C82436"/>
    <w:rsid w:val="00C8243F"/>
    <w:rsid w:val="00C8289B"/>
    <w:rsid w:val="00C82D54"/>
    <w:rsid w:val="00C82F3B"/>
    <w:rsid w:val="00C83022"/>
    <w:rsid w:val="00C837C4"/>
    <w:rsid w:val="00C83829"/>
    <w:rsid w:val="00C83AE8"/>
    <w:rsid w:val="00C83EDD"/>
    <w:rsid w:val="00C84BF1"/>
    <w:rsid w:val="00C84C8A"/>
    <w:rsid w:val="00C84CA2"/>
    <w:rsid w:val="00C84E8C"/>
    <w:rsid w:val="00C851EB"/>
    <w:rsid w:val="00C856E8"/>
    <w:rsid w:val="00C85837"/>
    <w:rsid w:val="00C85A36"/>
    <w:rsid w:val="00C85CD1"/>
    <w:rsid w:val="00C86166"/>
    <w:rsid w:val="00C86249"/>
    <w:rsid w:val="00C86A17"/>
    <w:rsid w:val="00C86B9F"/>
    <w:rsid w:val="00C86BF9"/>
    <w:rsid w:val="00C86C56"/>
    <w:rsid w:val="00C86DA2"/>
    <w:rsid w:val="00C86E2B"/>
    <w:rsid w:val="00C86EB6"/>
    <w:rsid w:val="00C870F2"/>
    <w:rsid w:val="00C8773E"/>
    <w:rsid w:val="00C87943"/>
    <w:rsid w:val="00C87EDA"/>
    <w:rsid w:val="00C9013C"/>
    <w:rsid w:val="00C90456"/>
    <w:rsid w:val="00C90601"/>
    <w:rsid w:val="00C90991"/>
    <w:rsid w:val="00C90A30"/>
    <w:rsid w:val="00C90D16"/>
    <w:rsid w:val="00C9116A"/>
    <w:rsid w:val="00C923D7"/>
    <w:rsid w:val="00C9265D"/>
    <w:rsid w:val="00C92808"/>
    <w:rsid w:val="00C92824"/>
    <w:rsid w:val="00C92FF8"/>
    <w:rsid w:val="00C937BA"/>
    <w:rsid w:val="00C93803"/>
    <w:rsid w:val="00C942D5"/>
    <w:rsid w:val="00C9438E"/>
    <w:rsid w:val="00C949FC"/>
    <w:rsid w:val="00C95755"/>
    <w:rsid w:val="00C957AB"/>
    <w:rsid w:val="00C9593E"/>
    <w:rsid w:val="00C95C43"/>
    <w:rsid w:val="00C960CF"/>
    <w:rsid w:val="00C96672"/>
    <w:rsid w:val="00C96678"/>
    <w:rsid w:val="00C96772"/>
    <w:rsid w:val="00C96A34"/>
    <w:rsid w:val="00C96A59"/>
    <w:rsid w:val="00C96CFA"/>
    <w:rsid w:val="00C96E5A"/>
    <w:rsid w:val="00C96EB5"/>
    <w:rsid w:val="00C97913"/>
    <w:rsid w:val="00CA0034"/>
    <w:rsid w:val="00CA0147"/>
    <w:rsid w:val="00CA0257"/>
    <w:rsid w:val="00CA02FE"/>
    <w:rsid w:val="00CA0307"/>
    <w:rsid w:val="00CA0917"/>
    <w:rsid w:val="00CA102B"/>
    <w:rsid w:val="00CA1666"/>
    <w:rsid w:val="00CA1B1D"/>
    <w:rsid w:val="00CA2489"/>
    <w:rsid w:val="00CA283D"/>
    <w:rsid w:val="00CA29D1"/>
    <w:rsid w:val="00CA2AF7"/>
    <w:rsid w:val="00CA2B44"/>
    <w:rsid w:val="00CA2DD6"/>
    <w:rsid w:val="00CA2F7C"/>
    <w:rsid w:val="00CA3247"/>
    <w:rsid w:val="00CA3752"/>
    <w:rsid w:val="00CA3999"/>
    <w:rsid w:val="00CA39C0"/>
    <w:rsid w:val="00CA3D7F"/>
    <w:rsid w:val="00CA4843"/>
    <w:rsid w:val="00CA5102"/>
    <w:rsid w:val="00CA52EB"/>
    <w:rsid w:val="00CA52F7"/>
    <w:rsid w:val="00CA5AD3"/>
    <w:rsid w:val="00CA62DD"/>
    <w:rsid w:val="00CA6366"/>
    <w:rsid w:val="00CA6426"/>
    <w:rsid w:val="00CA692D"/>
    <w:rsid w:val="00CA69BA"/>
    <w:rsid w:val="00CA6FC4"/>
    <w:rsid w:val="00CA6FFD"/>
    <w:rsid w:val="00CA7409"/>
    <w:rsid w:val="00CA7DE6"/>
    <w:rsid w:val="00CB0339"/>
    <w:rsid w:val="00CB0917"/>
    <w:rsid w:val="00CB110E"/>
    <w:rsid w:val="00CB1139"/>
    <w:rsid w:val="00CB11F8"/>
    <w:rsid w:val="00CB141A"/>
    <w:rsid w:val="00CB14F9"/>
    <w:rsid w:val="00CB1C20"/>
    <w:rsid w:val="00CB20F1"/>
    <w:rsid w:val="00CB225B"/>
    <w:rsid w:val="00CB2EF5"/>
    <w:rsid w:val="00CB33E4"/>
    <w:rsid w:val="00CB38FF"/>
    <w:rsid w:val="00CB3B94"/>
    <w:rsid w:val="00CB4230"/>
    <w:rsid w:val="00CB431B"/>
    <w:rsid w:val="00CB4538"/>
    <w:rsid w:val="00CB4A77"/>
    <w:rsid w:val="00CB4EA5"/>
    <w:rsid w:val="00CB5099"/>
    <w:rsid w:val="00CB5259"/>
    <w:rsid w:val="00CB542E"/>
    <w:rsid w:val="00CB557F"/>
    <w:rsid w:val="00CB592B"/>
    <w:rsid w:val="00CB5C5F"/>
    <w:rsid w:val="00CB600E"/>
    <w:rsid w:val="00CB610D"/>
    <w:rsid w:val="00CB624D"/>
    <w:rsid w:val="00CB65B8"/>
    <w:rsid w:val="00CB666A"/>
    <w:rsid w:val="00CB6CDF"/>
    <w:rsid w:val="00CB6E4F"/>
    <w:rsid w:val="00CB7264"/>
    <w:rsid w:val="00CB730F"/>
    <w:rsid w:val="00CB761C"/>
    <w:rsid w:val="00CB76B5"/>
    <w:rsid w:val="00CB7AD6"/>
    <w:rsid w:val="00CB7B62"/>
    <w:rsid w:val="00CC0495"/>
    <w:rsid w:val="00CC0D12"/>
    <w:rsid w:val="00CC1073"/>
    <w:rsid w:val="00CC110F"/>
    <w:rsid w:val="00CC11B8"/>
    <w:rsid w:val="00CC1650"/>
    <w:rsid w:val="00CC19AB"/>
    <w:rsid w:val="00CC1A51"/>
    <w:rsid w:val="00CC1AF9"/>
    <w:rsid w:val="00CC2001"/>
    <w:rsid w:val="00CC20E0"/>
    <w:rsid w:val="00CC2439"/>
    <w:rsid w:val="00CC2818"/>
    <w:rsid w:val="00CC2CCD"/>
    <w:rsid w:val="00CC2ECA"/>
    <w:rsid w:val="00CC2F7A"/>
    <w:rsid w:val="00CC33C6"/>
    <w:rsid w:val="00CC382E"/>
    <w:rsid w:val="00CC3A70"/>
    <w:rsid w:val="00CC4033"/>
    <w:rsid w:val="00CC40B8"/>
    <w:rsid w:val="00CC40BC"/>
    <w:rsid w:val="00CC4161"/>
    <w:rsid w:val="00CC4531"/>
    <w:rsid w:val="00CC518B"/>
    <w:rsid w:val="00CC5444"/>
    <w:rsid w:val="00CC5631"/>
    <w:rsid w:val="00CC5A2E"/>
    <w:rsid w:val="00CC62A6"/>
    <w:rsid w:val="00CC62BC"/>
    <w:rsid w:val="00CC676C"/>
    <w:rsid w:val="00CC6ECC"/>
    <w:rsid w:val="00CC715D"/>
    <w:rsid w:val="00CC7355"/>
    <w:rsid w:val="00CC75D4"/>
    <w:rsid w:val="00CC7779"/>
    <w:rsid w:val="00CC7A11"/>
    <w:rsid w:val="00CD027D"/>
    <w:rsid w:val="00CD04A8"/>
    <w:rsid w:val="00CD051B"/>
    <w:rsid w:val="00CD130F"/>
    <w:rsid w:val="00CD1681"/>
    <w:rsid w:val="00CD1DB1"/>
    <w:rsid w:val="00CD22B5"/>
    <w:rsid w:val="00CD22F4"/>
    <w:rsid w:val="00CD24E1"/>
    <w:rsid w:val="00CD25E1"/>
    <w:rsid w:val="00CD2DB9"/>
    <w:rsid w:val="00CD30B3"/>
    <w:rsid w:val="00CD343B"/>
    <w:rsid w:val="00CD367C"/>
    <w:rsid w:val="00CD3C63"/>
    <w:rsid w:val="00CD454A"/>
    <w:rsid w:val="00CD47F1"/>
    <w:rsid w:val="00CD4F54"/>
    <w:rsid w:val="00CD4FFE"/>
    <w:rsid w:val="00CD501D"/>
    <w:rsid w:val="00CD57FA"/>
    <w:rsid w:val="00CD5A6E"/>
    <w:rsid w:val="00CD6538"/>
    <w:rsid w:val="00CD6856"/>
    <w:rsid w:val="00CD6B99"/>
    <w:rsid w:val="00CD711F"/>
    <w:rsid w:val="00CD74A7"/>
    <w:rsid w:val="00CD7553"/>
    <w:rsid w:val="00CD79A5"/>
    <w:rsid w:val="00CD79B2"/>
    <w:rsid w:val="00CD7DC9"/>
    <w:rsid w:val="00CE04BE"/>
    <w:rsid w:val="00CE0EA9"/>
    <w:rsid w:val="00CE11C8"/>
    <w:rsid w:val="00CE157C"/>
    <w:rsid w:val="00CE1AF6"/>
    <w:rsid w:val="00CE21FD"/>
    <w:rsid w:val="00CE2298"/>
    <w:rsid w:val="00CE289D"/>
    <w:rsid w:val="00CE2F73"/>
    <w:rsid w:val="00CE3064"/>
    <w:rsid w:val="00CE39E4"/>
    <w:rsid w:val="00CE41CB"/>
    <w:rsid w:val="00CE4282"/>
    <w:rsid w:val="00CE499F"/>
    <w:rsid w:val="00CE54E1"/>
    <w:rsid w:val="00CE55B6"/>
    <w:rsid w:val="00CE5856"/>
    <w:rsid w:val="00CE5A59"/>
    <w:rsid w:val="00CE5BDE"/>
    <w:rsid w:val="00CE6507"/>
    <w:rsid w:val="00CE6A6D"/>
    <w:rsid w:val="00CE6B46"/>
    <w:rsid w:val="00CE6DA5"/>
    <w:rsid w:val="00CE719D"/>
    <w:rsid w:val="00CE774C"/>
    <w:rsid w:val="00CE7DD0"/>
    <w:rsid w:val="00CF002A"/>
    <w:rsid w:val="00CF012E"/>
    <w:rsid w:val="00CF04D4"/>
    <w:rsid w:val="00CF0B4C"/>
    <w:rsid w:val="00CF1181"/>
    <w:rsid w:val="00CF1590"/>
    <w:rsid w:val="00CF1680"/>
    <w:rsid w:val="00CF1BD7"/>
    <w:rsid w:val="00CF200D"/>
    <w:rsid w:val="00CF21A5"/>
    <w:rsid w:val="00CF2331"/>
    <w:rsid w:val="00CF24AB"/>
    <w:rsid w:val="00CF2518"/>
    <w:rsid w:val="00CF29AA"/>
    <w:rsid w:val="00CF2A0A"/>
    <w:rsid w:val="00CF2DDE"/>
    <w:rsid w:val="00CF344A"/>
    <w:rsid w:val="00CF39A0"/>
    <w:rsid w:val="00CF3D1C"/>
    <w:rsid w:val="00CF467F"/>
    <w:rsid w:val="00CF4713"/>
    <w:rsid w:val="00CF4B12"/>
    <w:rsid w:val="00CF4B27"/>
    <w:rsid w:val="00CF58FE"/>
    <w:rsid w:val="00CF5A7E"/>
    <w:rsid w:val="00CF5EBE"/>
    <w:rsid w:val="00CF5FA4"/>
    <w:rsid w:val="00CF625F"/>
    <w:rsid w:val="00CF6730"/>
    <w:rsid w:val="00CF677D"/>
    <w:rsid w:val="00CF72BB"/>
    <w:rsid w:val="00CF76B5"/>
    <w:rsid w:val="00CF783B"/>
    <w:rsid w:val="00CF78A7"/>
    <w:rsid w:val="00CF7CF6"/>
    <w:rsid w:val="00CF7D97"/>
    <w:rsid w:val="00CF7EEC"/>
    <w:rsid w:val="00D001C2"/>
    <w:rsid w:val="00D00779"/>
    <w:rsid w:val="00D009D8"/>
    <w:rsid w:val="00D00CEA"/>
    <w:rsid w:val="00D01228"/>
    <w:rsid w:val="00D012E1"/>
    <w:rsid w:val="00D01318"/>
    <w:rsid w:val="00D01665"/>
    <w:rsid w:val="00D01D1E"/>
    <w:rsid w:val="00D01DD6"/>
    <w:rsid w:val="00D02580"/>
    <w:rsid w:val="00D025A8"/>
    <w:rsid w:val="00D027E3"/>
    <w:rsid w:val="00D031A6"/>
    <w:rsid w:val="00D035D6"/>
    <w:rsid w:val="00D03AAF"/>
    <w:rsid w:val="00D03BF7"/>
    <w:rsid w:val="00D03F1E"/>
    <w:rsid w:val="00D0428E"/>
    <w:rsid w:val="00D0432F"/>
    <w:rsid w:val="00D04426"/>
    <w:rsid w:val="00D0482F"/>
    <w:rsid w:val="00D04A33"/>
    <w:rsid w:val="00D05587"/>
    <w:rsid w:val="00D05892"/>
    <w:rsid w:val="00D062B1"/>
    <w:rsid w:val="00D062D0"/>
    <w:rsid w:val="00D062FD"/>
    <w:rsid w:val="00D06824"/>
    <w:rsid w:val="00D06C03"/>
    <w:rsid w:val="00D078B6"/>
    <w:rsid w:val="00D10056"/>
    <w:rsid w:val="00D1008D"/>
    <w:rsid w:val="00D1037A"/>
    <w:rsid w:val="00D10445"/>
    <w:rsid w:val="00D109E2"/>
    <w:rsid w:val="00D10D09"/>
    <w:rsid w:val="00D10F6D"/>
    <w:rsid w:val="00D11017"/>
    <w:rsid w:val="00D1163E"/>
    <w:rsid w:val="00D1164E"/>
    <w:rsid w:val="00D119AC"/>
    <w:rsid w:val="00D12362"/>
    <w:rsid w:val="00D12461"/>
    <w:rsid w:val="00D12A4F"/>
    <w:rsid w:val="00D12F83"/>
    <w:rsid w:val="00D136DA"/>
    <w:rsid w:val="00D13FE4"/>
    <w:rsid w:val="00D143B1"/>
    <w:rsid w:val="00D14C15"/>
    <w:rsid w:val="00D151B9"/>
    <w:rsid w:val="00D15CB3"/>
    <w:rsid w:val="00D15EEB"/>
    <w:rsid w:val="00D15F51"/>
    <w:rsid w:val="00D16458"/>
    <w:rsid w:val="00D16B54"/>
    <w:rsid w:val="00D16ED5"/>
    <w:rsid w:val="00D171B0"/>
    <w:rsid w:val="00D20078"/>
    <w:rsid w:val="00D202B1"/>
    <w:rsid w:val="00D20469"/>
    <w:rsid w:val="00D20662"/>
    <w:rsid w:val="00D20775"/>
    <w:rsid w:val="00D207EC"/>
    <w:rsid w:val="00D20C25"/>
    <w:rsid w:val="00D20DFF"/>
    <w:rsid w:val="00D210C3"/>
    <w:rsid w:val="00D21291"/>
    <w:rsid w:val="00D217F7"/>
    <w:rsid w:val="00D21C8A"/>
    <w:rsid w:val="00D21D94"/>
    <w:rsid w:val="00D21E91"/>
    <w:rsid w:val="00D22393"/>
    <w:rsid w:val="00D2297E"/>
    <w:rsid w:val="00D22DE5"/>
    <w:rsid w:val="00D233BD"/>
    <w:rsid w:val="00D233D7"/>
    <w:rsid w:val="00D23CBB"/>
    <w:rsid w:val="00D24400"/>
    <w:rsid w:val="00D24467"/>
    <w:rsid w:val="00D245C7"/>
    <w:rsid w:val="00D24676"/>
    <w:rsid w:val="00D24706"/>
    <w:rsid w:val="00D24728"/>
    <w:rsid w:val="00D2478C"/>
    <w:rsid w:val="00D2545E"/>
    <w:rsid w:val="00D25653"/>
    <w:rsid w:val="00D2569F"/>
    <w:rsid w:val="00D25806"/>
    <w:rsid w:val="00D25812"/>
    <w:rsid w:val="00D25B89"/>
    <w:rsid w:val="00D25E81"/>
    <w:rsid w:val="00D25E9D"/>
    <w:rsid w:val="00D25F1C"/>
    <w:rsid w:val="00D261BC"/>
    <w:rsid w:val="00D262FD"/>
    <w:rsid w:val="00D269D2"/>
    <w:rsid w:val="00D26DE6"/>
    <w:rsid w:val="00D26E1C"/>
    <w:rsid w:val="00D26EE7"/>
    <w:rsid w:val="00D26F26"/>
    <w:rsid w:val="00D273AF"/>
    <w:rsid w:val="00D27875"/>
    <w:rsid w:val="00D27B1E"/>
    <w:rsid w:val="00D27B32"/>
    <w:rsid w:val="00D27CB9"/>
    <w:rsid w:val="00D30192"/>
    <w:rsid w:val="00D30718"/>
    <w:rsid w:val="00D30CE5"/>
    <w:rsid w:val="00D318D2"/>
    <w:rsid w:val="00D319B8"/>
    <w:rsid w:val="00D31B60"/>
    <w:rsid w:val="00D31E70"/>
    <w:rsid w:val="00D322FB"/>
    <w:rsid w:val="00D32475"/>
    <w:rsid w:val="00D3297D"/>
    <w:rsid w:val="00D32DE8"/>
    <w:rsid w:val="00D32EF4"/>
    <w:rsid w:val="00D336DF"/>
    <w:rsid w:val="00D33BF8"/>
    <w:rsid w:val="00D33F81"/>
    <w:rsid w:val="00D34244"/>
    <w:rsid w:val="00D34850"/>
    <w:rsid w:val="00D349C2"/>
    <w:rsid w:val="00D34A85"/>
    <w:rsid w:val="00D35060"/>
    <w:rsid w:val="00D3584B"/>
    <w:rsid w:val="00D35B4A"/>
    <w:rsid w:val="00D36480"/>
    <w:rsid w:val="00D36604"/>
    <w:rsid w:val="00D366DE"/>
    <w:rsid w:val="00D369D4"/>
    <w:rsid w:val="00D36AD7"/>
    <w:rsid w:val="00D3702C"/>
    <w:rsid w:val="00D3718C"/>
    <w:rsid w:val="00D373E9"/>
    <w:rsid w:val="00D37C61"/>
    <w:rsid w:val="00D40074"/>
    <w:rsid w:val="00D400CF"/>
    <w:rsid w:val="00D403FF"/>
    <w:rsid w:val="00D404C4"/>
    <w:rsid w:val="00D408FE"/>
    <w:rsid w:val="00D40C02"/>
    <w:rsid w:val="00D40CE9"/>
    <w:rsid w:val="00D40E72"/>
    <w:rsid w:val="00D40ECE"/>
    <w:rsid w:val="00D41205"/>
    <w:rsid w:val="00D41954"/>
    <w:rsid w:val="00D41DD8"/>
    <w:rsid w:val="00D42115"/>
    <w:rsid w:val="00D42E8F"/>
    <w:rsid w:val="00D42EFD"/>
    <w:rsid w:val="00D4316D"/>
    <w:rsid w:val="00D435A2"/>
    <w:rsid w:val="00D435D4"/>
    <w:rsid w:val="00D4374A"/>
    <w:rsid w:val="00D43ABA"/>
    <w:rsid w:val="00D43DB6"/>
    <w:rsid w:val="00D43DF2"/>
    <w:rsid w:val="00D43E5F"/>
    <w:rsid w:val="00D442CA"/>
    <w:rsid w:val="00D45223"/>
    <w:rsid w:val="00D457D1"/>
    <w:rsid w:val="00D458AA"/>
    <w:rsid w:val="00D45A0D"/>
    <w:rsid w:val="00D45E86"/>
    <w:rsid w:val="00D46338"/>
    <w:rsid w:val="00D46BA2"/>
    <w:rsid w:val="00D47227"/>
    <w:rsid w:val="00D47234"/>
    <w:rsid w:val="00D47281"/>
    <w:rsid w:val="00D47581"/>
    <w:rsid w:val="00D477FD"/>
    <w:rsid w:val="00D47FC9"/>
    <w:rsid w:val="00D50295"/>
    <w:rsid w:val="00D5069A"/>
    <w:rsid w:val="00D50BFC"/>
    <w:rsid w:val="00D50C20"/>
    <w:rsid w:val="00D50E43"/>
    <w:rsid w:val="00D51469"/>
    <w:rsid w:val="00D51C1C"/>
    <w:rsid w:val="00D51D48"/>
    <w:rsid w:val="00D51E69"/>
    <w:rsid w:val="00D52883"/>
    <w:rsid w:val="00D52B45"/>
    <w:rsid w:val="00D52C08"/>
    <w:rsid w:val="00D530E9"/>
    <w:rsid w:val="00D530EB"/>
    <w:rsid w:val="00D53393"/>
    <w:rsid w:val="00D535B6"/>
    <w:rsid w:val="00D5360E"/>
    <w:rsid w:val="00D54217"/>
    <w:rsid w:val="00D54691"/>
    <w:rsid w:val="00D55235"/>
    <w:rsid w:val="00D55519"/>
    <w:rsid w:val="00D558AF"/>
    <w:rsid w:val="00D55C42"/>
    <w:rsid w:val="00D55D78"/>
    <w:rsid w:val="00D567D2"/>
    <w:rsid w:val="00D56916"/>
    <w:rsid w:val="00D56EF4"/>
    <w:rsid w:val="00D56FC8"/>
    <w:rsid w:val="00D571D1"/>
    <w:rsid w:val="00D572B2"/>
    <w:rsid w:val="00D57331"/>
    <w:rsid w:val="00D57427"/>
    <w:rsid w:val="00D574B4"/>
    <w:rsid w:val="00D57C5A"/>
    <w:rsid w:val="00D57EC9"/>
    <w:rsid w:val="00D57F53"/>
    <w:rsid w:val="00D60A49"/>
    <w:rsid w:val="00D60CAB"/>
    <w:rsid w:val="00D610FD"/>
    <w:rsid w:val="00D612AF"/>
    <w:rsid w:val="00D619F3"/>
    <w:rsid w:val="00D62274"/>
    <w:rsid w:val="00D623F3"/>
    <w:rsid w:val="00D626FF"/>
    <w:rsid w:val="00D62A5B"/>
    <w:rsid w:val="00D62A83"/>
    <w:rsid w:val="00D62B43"/>
    <w:rsid w:val="00D62D5C"/>
    <w:rsid w:val="00D62ECD"/>
    <w:rsid w:val="00D63748"/>
    <w:rsid w:val="00D63890"/>
    <w:rsid w:val="00D639F0"/>
    <w:rsid w:val="00D63B05"/>
    <w:rsid w:val="00D63C1B"/>
    <w:rsid w:val="00D63D76"/>
    <w:rsid w:val="00D64007"/>
    <w:rsid w:val="00D643B6"/>
    <w:rsid w:val="00D6448D"/>
    <w:rsid w:val="00D64BFF"/>
    <w:rsid w:val="00D64DE1"/>
    <w:rsid w:val="00D64E0C"/>
    <w:rsid w:val="00D64E3F"/>
    <w:rsid w:val="00D653D0"/>
    <w:rsid w:val="00D65C96"/>
    <w:rsid w:val="00D66427"/>
    <w:rsid w:val="00D6692A"/>
    <w:rsid w:val="00D66E55"/>
    <w:rsid w:val="00D67099"/>
    <w:rsid w:val="00D67171"/>
    <w:rsid w:val="00D674E9"/>
    <w:rsid w:val="00D67712"/>
    <w:rsid w:val="00D6799A"/>
    <w:rsid w:val="00D679DC"/>
    <w:rsid w:val="00D67BE4"/>
    <w:rsid w:val="00D67EF3"/>
    <w:rsid w:val="00D7009C"/>
    <w:rsid w:val="00D7043A"/>
    <w:rsid w:val="00D70E0B"/>
    <w:rsid w:val="00D70F17"/>
    <w:rsid w:val="00D712DA"/>
    <w:rsid w:val="00D71561"/>
    <w:rsid w:val="00D719EF"/>
    <w:rsid w:val="00D7229D"/>
    <w:rsid w:val="00D72327"/>
    <w:rsid w:val="00D727E0"/>
    <w:rsid w:val="00D72B87"/>
    <w:rsid w:val="00D72BDD"/>
    <w:rsid w:val="00D72C72"/>
    <w:rsid w:val="00D72E23"/>
    <w:rsid w:val="00D735AF"/>
    <w:rsid w:val="00D73A10"/>
    <w:rsid w:val="00D74160"/>
    <w:rsid w:val="00D747A4"/>
    <w:rsid w:val="00D74EB9"/>
    <w:rsid w:val="00D74EC1"/>
    <w:rsid w:val="00D75121"/>
    <w:rsid w:val="00D75D22"/>
    <w:rsid w:val="00D75DA5"/>
    <w:rsid w:val="00D75F5C"/>
    <w:rsid w:val="00D75FAF"/>
    <w:rsid w:val="00D760E0"/>
    <w:rsid w:val="00D7610C"/>
    <w:rsid w:val="00D76285"/>
    <w:rsid w:val="00D76C58"/>
    <w:rsid w:val="00D76CF2"/>
    <w:rsid w:val="00D76E7C"/>
    <w:rsid w:val="00D76F07"/>
    <w:rsid w:val="00D7719D"/>
    <w:rsid w:val="00D771C4"/>
    <w:rsid w:val="00D77228"/>
    <w:rsid w:val="00D776C5"/>
    <w:rsid w:val="00D779B8"/>
    <w:rsid w:val="00D8078C"/>
    <w:rsid w:val="00D80B40"/>
    <w:rsid w:val="00D8130A"/>
    <w:rsid w:val="00D8155B"/>
    <w:rsid w:val="00D816D5"/>
    <w:rsid w:val="00D81A5C"/>
    <w:rsid w:val="00D81E79"/>
    <w:rsid w:val="00D81FEA"/>
    <w:rsid w:val="00D820A3"/>
    <w:rsid w:val="00D825A5"/>
    <w:rsid w:val="00D825B7"/>
    <w:rsid w:val="00D8261F"/>
    <w:rsid w:val="00D8290E"/>
    <w:rsid w:val="00D82962"/>
    <w:rsid w:val="00D82AD1"/>
    <w:rsid w:val="00D82B68"/>
    <w:rsid w:val="00D82C3E"/>
    <w:rsid w:val="00D82E6E"/>
    <w:rsid w:val="00D83040"/>
    <w:rsid w:val="00D8323B"/>
    <w:rsid w:val="00D83489"/>
    <w:rsid w:val="00D834B4"/>
    <w:rsid w:val="00D83D13"/>
    <w:rsid w:val="00D841AC"/>
    <w:rsid w:val="00D84669"/>
    <w:rsid w:val="00D850D7"/>
    <w:rsid w:val="00D855B2"/>
    <w:rsid w:val="00D8589D"/>
    <w:rsid w:val="00D858E2"/>
    <w:rsid w:val="00D85A81"/>
    <w:rsid w:val="00D85B0E"/>
    <w:rsid w:val="00D85EC5"/>
    <w:rsid w:val="00D8616A"/>
    <w:rsid w:val="00D86466"/>
    <w:rsid w:val="00D8698D"/>
    <w:rsid w:val="00D86997"/>
    <w:rsid w:val="00D86D7A"/>
    <w:rsid w:val="00D870E8"/>
    <w:rsid w:val="00D87423"/>
    <w:rsid w:val="00D87452"/>
    <w:rsid w:val="00D87485"/>
    <w:rsid w:val="00D87D46"/>
    <w:rsid w:val="00D87D5F"/>
    <w:rsid w:val="00D907CB"/>
    <w:rsid w:val="00D908B7"/>
    <w:rsid w:val="00D90919"/>
    <w:rsid w:val="00D90B9D"/>
    <w:rsid w:val="00D9168A"/>
    <w:rsid w:val="00D91BF2"/>
    <w:rsid w:val="00D91CBF"/>
    <w:rsid w:val="00D92075"/>
    <w:rsid w:val="00D926C0"/>
    <w:rsid w:val="00D92EAE"/>
    <w:rsid w:val="00D92F7A"/>
    <w:rsid w:val="00D93322"/>
    <w:rsid w:val="00D93BF6"/>
    <w:rsid w:val="00D93C1C"/>
    <w:rsid w:val="00D94026"/>
    <w:rsid w:val="00D94120"/>
    <w:rsid w:val="00D94627"/>
    <w:rsid w:val="00D94E32"/>
    <w:rsid w:val="00D951DD"/>
    <w:rsid w:val="00D952ED"/>
    <w:rsid w:val="00D956E9"/>
    <w:rsid w:val="00D957FA"/>
    <w:rsid w:val="00D95FF0"/>
    <w:rsid w:val="00D9664C"/>
    <w:rsid w:val="00D96A95"/>
    <w:rsid w:val="00D96D73"/>
    <w:rsid w:val="00D97404"/>
    <w:rsid w:val="00D975A3"/>
    <w:rsid w:val="00D979D0"/>
    <w:rsid w:val="00DA080E"/>
    <w:rsid w:val="00DA08CA"/>
    <w:rsid w:val="00DA0F37"/>
    <w:rsid w:val="00DA101A"/>
    <w:rsid w:val="00DA11A1"/>
    <w:rsid w:val="00DA11EE"/>
    <w:rsid w:val="00DA122C"/>
    <w:rsid w:val="00DA1A06"/>
    <w:rsid w:val="00DA1F19"/>
    <w:rsid w:val="00DA2C77"/>
    <w:rsid w:val="00DA2DE2"/>
    <w:rsid w:val="00DA2FD5"/>
    <w:rsid w:val="00DA4575"/>
    <w:rsid w:val="00DA4838"/>
    <w:rsid w:val="00DA4890"/>
    <w:rsid w:val="00DA4989"/>
    <w:rsid w:val="00DA4A13"/>
    <w:rsid w:val="00DA5721"/>
    <w:rsid w:val="00DA5B99"/>
    <w:rsid w:val="00DA6173"/>
    <w:rsid w:val="00DA6893"/>
    <w:rsid w:val="00DA70B7"/>
    <w:rsid w:val="00DA7477"/>
    <w:rsid w:val="00DA7573"/>
    <w:rsid w:val="00DA780E"/>
    <w:rsid w:val="00DA7A1B"/>
    <w:rsid w:val="00DA7BD4"/>
    <w:rsid w:val="00DB00FF"/>
    <w:rsid w:val="00DB0191"/>
    <w:rsid w:val="00DB0359"/>
    <w:rsid w:val="00DB0EF6"/>
    <w:rsid w:val="00DB0F8A"/>
    <w:rsid w:val="00DB1216"/>
    <w:rsid w:val="00DB17DE"/>
    <w:rsid w:val="00DB1BA7"/>
    <w:rsid w:val="00DB1FA6"/>
    <w:rsid w:val="00DB22EA"/>
    <w:rsid w:val="00DB2565"/>
    <w:rsid w:val="00DB26A8"/>
    <w:rsid w:val="00DB27CF"/>
    <w:rsid w:val="00DB2FDC"/>
    <w:rsid w:val="00DB324C"/>
    <w:rsid w:val="00DB336B"/>
    <w:rsid w:val="00DB3AF4"/>
    <w:rsid w:val="00DB3B85"/>
    <w:rsid w:val="00DB3FB4"/>
    <w:rsid w:val="00DB3FD3"/>
    <w:rsid w:val="00DB492E"/>
    <w:rsid w:val="00DB5421"/>
    <w:rsid w:val="00DB5EE4"/>
    <w:rsid w:val="00DB5F2A"/>
    <w:rsid w:val="00DB614A"/>
    <w:rsid w:val="00DB6A2B"/>
    <w:rsid w:val="00DB6DE9"/>
    <w:rsid w:val="00DB6F45"/>
    <w:rsid w:val="00DB72B7"/>
    <w:rsid w:val="00DB7546"/>
    <w:rsid w:val="00DB782D"/>
    <w:rsid w:val="00DB7993"/>
    <w:rsid w:val="00DB7D5A"/>
    <w:rsid w:val="00DC03A8"/>
    <w:rsid w:val="00DC0624"/>
    <w:rsid w:val="00DC0629"/>
    <w:rsid w:val="00DC0FC3"/>
    <w:rsid w:val="00DC103D"/>
    <w:rsid w:val="00DC12D1"/>
    <w:rsid w:val="00DC1A58"/>
    <w:rsid w:val="00DC1AC0"/>
    <w:rsid w:val="00DC1CDD"/>
    <w:rsid w:val="00DC1D8E"/>
    <w:rsid w:val="00DC1EB1"/>
    <w:rsid w:val="00DC20C3"/>
    <w:rsid w:val="00DC227A"/>
    <w:rsid w:val="00DC2360"/>
    <w:rsid w:val="00DC26E4"/>
    <w:rsid w:val="00DC2845"/>
    <w:rsid w:val="00DC2BAE"/>
    <w:rsid w:val="00DC2CEE"/>
    <w:rsid w:val="00DC3257"/>
    <w:rsid w:val="00DC3279"/>
    <w:rsid w:val="00DC3830"/>
    <w:rsid w:val="00DC3BF1"/>
    <w:rsid w:val="00DC3CFC"/>
    <w:rsid w:val="00DC4075"/>
    <w:rsid w:val="00DC4A0D"/>
    <w:rsid w:val="00DC4D1D"/>
    <w:rsid w:val="00DC4D87"/>
    <w:rsid w:val="00DC54EB"/>
    <w:rsid w:val="00DC580A"/>
    <w:rsid w:val="00DC5983"/>
    <w:rsid w:val="00DC5A10"/>
    <w:rsid w:val="00DC5B50"/>
    <w:rsid w:val="00DC64F6"/>
    <w:rsid w:val="00DC66BC"/>
    <w:rsid w:val="00DC6BC7"/>
    <w:rsid w:val="00DC727F"/>
    <w:rsid w:val="00DC7B36"/>
    <w:rsid w:val="00DC7D1C"/>
    <w:rsid w:val="00DC7E78"/>
    <w:rsid w:val="00DD0493"/>
    <w:rsid w:val="00DD062E"/>
    <w:rsid w:val="00DD0924"/>
    <w:rsid w:val="00DD0CBF"/>
    <w:rsid w:val="00DD1071"/>
    <w:rsid w:val="00DD12FD"/>
    <w:rsid w:val="00DD1576"/>
    <w:rsid w:val="00DD1B5E"/>
    <w:rsid w:val="00DD1D31"/>
    <w:rsid w:val="00DD2284"/>
    <w:rsid w:val="00DD2893"/>
    <w:rsid w:val="00DD2E48"/>
    <w:rsid w:val="00DD334F"/>
    <w:rsid w:val="00DD3ACA"/>
    <w:rsid w:val="00DD3B45"/>
    <w:rsid w:val="00DD3DFA"/>
    <w:rsid w:val="00DD4717"/>
    <w:rsid w:val="00DD48B3"/>
    <w:rsid w:val="00DD4F74"/>
    <w:rsid w:val="00DD5225"/>
    <w:rsid w:val="00DD531F"/>
    <w:rsid w:val="00DD556C"/>
    <w:rsid w:val="00DD5737"/>
    <w:rsid w:val="00DD5CFF"/>
    <w:rsid w:val="00DD5E69"/>
    <w:rsid w:val="00DD5E81"/>
    <w:rsid w:val="00DD6B56"/>
    <w:rsid w:val="00DD6C46"/>
    <w:rsid w:val="00DD6C7A"/>
    <w:rsid w:val="00DD6F44"/>
    <w:rsid w:val="00DD70E8"/>
    <w:rsid w:val="00DD76CD"/>
    <w:rsid w:val="00DD7C62"/>
    <w:rsid w:val="00DD7CCA"/>
    <w:rsid w:val="00DE09B6"/>
    <w:rsid w:val="00DE0BDE"/>
    <w:rsid w:val="00DE10CF"/>
    <w:rsid w:val="00DE1270"/>
    <w:rsid w:val="00DE1588"/>
    <w:rsid w:val="00DE15CA"/>
    <w:rsid w:val="00DE1645"/>
    <w:rsid w:val="00DE19CF"/>
    <w:rsid w:val="00DE1A75"/>
    <w:rsid w:val="00DE1E1E"/>
    <w:rsid w:val="00DE2102"/>
    <w:rsid w:val="00DE223E"/>
    <w:rsid w:val="00DE2938"/>
    <w:rsid w:val="00DE2D33"/>
    <w:rsid w:val="00DE3079"/>
    <w:rsid w:val="00DE3129"/>
    <w:rsid w:val="00DE3418"/>
    <w:rsid w:val="00DE34EB"/>
    <w:rsid w:val="00DE3592"/>
    <w:rsid w:val="00DE35E6"/>
    <w:rsid w:val="00DE3A74"/>
    <w:rsid w:val="00DE3D4E"/>
    <w:rsid w:val="00DE3E78"/>
    <w:rsid w:val="00DE41F8"/>
    <w:rsid w:val="00DE4B9D"/>
    <w:rsid w:val="00DE50EA"/>
    <w:rsid w:val="00DE5215"/>
    <w:rsid w:val="00DE545C"/>
    <w:rsid w:val="00DE59C6"/>
    <w:rsid w:val="00DE5B9C"/>
    <w:rsid w:val="00DE5C9F"/>
    <w:rsid w:val="00DE5FAC"/>
    <w:rsid w:val="00DE6C96"/>
    <w:rsid w:val="00DE734E"/>
    <w:rsid w:val="00DE7887"/>
    <w:rsid w:val="00DE7BF8"/>
    <w:rsid w:val="00DF04E3"/>
    <w:rsid w:val="00DF0DC3"/>
    <w:rsid w:val="00DF12D6"/>
    <w:rsid w:val="00DF14F9"/>
    <w:rsid w:val="00DF1C2D"/>
    <w:rsid w:val="00DF1FAE"/>
    <w:rsid w:val="00DF2247"/>
    <w:rsid w:val="00DF2621"/>
    <w:rsid w:val="00DF2AD9"/>
    <w:rsid w:val="00DF2C12"/>
    <w:rsid w:val="00DF2CBD"/>
    <w:rsid w:val="00DF2FF0"/>
    <w:rsid w:val="00DF3180"/>
    <w:rsid w:val="00DF3679"/>
    <w:rsid w:val="00DF38D6"/>
    <w:rsid w:val="00DF395D"/>
    <w:rsid w:val="00DF3C2F"/>
    <w:rsid w:val="00DF411E"/>
    <w:rsid w:val="00DF4413"/>
    <w:rsid w:val="00DF4531"/>
    <w:rsid w:val="00DF54D0"/>
    <w:rsid w:val="00DF580C"/>
    <w:rsid w:val="00DF5C1A"/>
    <w:rsid w:val="00DF607A"/>
    <w:rsid w:val="00DF6A48"/>
    <w:rsid w:val="00DF6BCB"/>
    <w:rsid w:val="00DF6D45"/>
    <w:rsid w:val="00DF7029"/>
    <w:rsid w:val="00DF7042"/>
    <w:rsid w:val="00DF78FD"/>
    <w:rsid w:val="00DF7EFE"/>
    <w:rsid w:val="00DF7F52"/>
    <w:rsid w:val="00E00E15"/>
    <w:rsid w:val="00E00F63"/>
    <w:rsid w:val="00E01210"/>
    <w:rsid w:val="00E01A5A"/>
    <w:rsid w:val="00E01D50"/>
    <w:rsid w:val="00E01F15"/>
    <w:rsid w:val="00E02664"/>
    <w:rsid w:val="00E02697"/>
    <w:rsid w:val="00E02C4D"/>
    <w:rsid w:val="00E031A5"/>
    <w:rsid w:val="00E0341B"/>
    <w:rsid w:val="00E0348F"/>
    <w:rsid w:val="00E035A6"/>
    <w:rsid w:val="00E038F5"/>
    <w:rsid w:val="00E03D67"/>
    <w:rsid w:val="00E04158"/>
    <w:rsid w:val="00E04510"/>
    <w:rsid w:val="00E046FF"/>
    <w:rsid w:val="00E04784"/>
    <w:rsid w:val="00E050FB"/>
    <w:rsid w:val="00E05569"/>
    <w:rsid w:val="00E05A6C"/>
    <w:rsid w:val="00E05F59"/>
    <w:rsid w:val="00E064A3"/>
    <w:rsid w:val="00E0655D"/>
    <w:rsid w:val="00E075AB"/>
    <w:rsid w:val="00E075CA"/>
    <w:rsid w:val="00E1024A"/>
    <w:rsid w:val="00E1070F"/>
    <w:rsid w:val="00E10B17"/>
    <w:rsid w:val="00E10B53"/>
    <w:rsid w:val="00E10B67"/>
    <w:rsid w:val="00E10D2E"/>
    <w:rsid w:val="00E10D96"/>
    <w:rsid w:val="00E10FDC"/>
    <w:rsid w:val="00E11616"/>
    <w:rsid w:val="00E11EC6"/>
    <w:rsid w:val="00E11F74"/>
    <w:rsid w:val="00E12416"/>
    <w:rsid w:val="00E12742"/>
    <w:rsid w:val="00E1292B"/>
    <w:rsid w:val="00E12A43"/>
    <w:rsid w:val="00E12AB9"/>
    <w:rsid w:val="00E12B67"/>
    <w:rsid w:val="00E12D17"/>
    <w:rsid w:val="00E12DB5"/>
    <w:rsid w:val="00E141D3"/>
    <w:rsid w:val="00E14636"/>
    <w:rsid w:val="00E14941"/>
    <w:rsid w:val="00E14B00"/>
    <w:rsid w:val="00E15108"/>
    <w:rsid w:val="00E1526B"/>
    <w:rsid w:val="00E1534B"/>
    <w:rsid w:val="00E15408"/>
    <w:rsid w:val="00E15743"/>
    <w:rsid w:val="00E15C52"/>
    <w:rsid w:val="00E15EDA"/>
    <w:rsid w:val="00E15F0B"/>
    <w:rsid w:val="00E160E8"/>
    <w:rsid w:val="00E16199"/>
    <w:rsid w:val="00E16311"/>
    <w:rsid w:val="00E16ED0"/>
    <w:rsid w:val="00E1702C"/>
    <w:rsid w:val="00E17C95"/>
    <w:rsid w:val="00E20185"/>
    <w:rsid w:val="00E202CF"/>
    <w:rsid w:val="00E20356"/>
    <w:rsid w:val="00E208A9"/>
    <w:rsid w:val="00E20B47"/>
    <w:rsid w:val="00E20CC5"/>
    <w:rsid w:val="00E21ACA"/>
    <w:rsid w:val="00E224F6"/>
    <w:rsid w:val="00E2254E"/>
    <w:rsid w:val="00E22B80"/>
    <w:rsid w:val="00E22C0E"/>
    <w:rsid w:val="00E22C9A"/>
    <w:rsid w:val="00E22CFF"/>
    <w:rsid w:val="00E22FDE"/>
    <w:rsid w:val="00E23005"/>
    <w:rsid w:val="00E231CD"/>
    <w:rsid w:val="00E231E1"/>
    <w:rsid w:val="00E233EB"/>
    <w:rsid w:val="00E237D6"/>
    <w:rsid w:val="00E23888"/>
    <w:rsid w:val="00E23B9C"/>
    <w:rsid w:val="00E23CE3"/>
    <w:rsid w:val="00E23CF7"/>
    <w:rsid w:val="00E23E76"/>
    <w:rsid w:val="00E24702"/>
    <w:rsid w:val="00E248B9"/>
    <w:rsid w:val="00E249DB"/>
    <w:rsid w:val="00E253A3"/>
    <w:rsid w:val="00E25402"/>
    <w:rsid w:val="00E259B0"/>
    <w:rsid w:val="00E25AF8"/>
    <w:rsid w:val="00E26021"/>
    <w:rsid w:val="00E2668A"/>
    <w:rsid w:val="00E26AEC"/>
    <w:rsid w:val="00E2757B"/>
    <w:rsid w:val="00E276EE"/>
    <w:rsid w:val="00E2770B"/>
    <w:rsid w:val="00E2792D"/>
    <w:rsid w:val="00E300BB"/>
    <w:rsid w:val="00E307E4"/>
    <w:rsid w:val="00E30828"/>
    <w:rsid w:val="00E30993"/>
    <w:rsid w:val="00E30B37"/>
    <w:rsid w:val="00E3109C"/>
    <w:rsid w:val="00E311D1"/>
    <w:rsid w:val="00E3147E"/>
    <w:rsid w:val="00E314C0"/>
    <w:rsid w:val="00E316D3"/>
    <w:rsid w:val="00E31A3F"/>
    <w:rsid w:val="00E31C2D"/>
    <w:rsid w:val="00E32432"/>
    <w:rsid w:val="00E333A1"/>
    <w:rsid w:val="00E33B1E"/>
    <w:rsid w:val="00E34277"/>
    <w:rsid w:val="00E3482E"/>
    <w:rsid w:val="00E34964"/>
    <w:rsid w:val="00E35DA3"/>
    <w:rsid w:val="00E35F59"/>
    <w:rsid w:val="00E3621B"/>
    <w:rsid w:val="00E36472"/>
    <w:rsid w:val="00E36BE9"/>
    <w:rsid w:val="00E36C2F"/>
    <w:rsid w:val="00E36D8A"/>
    <w:rsid w:val="00E36E47"/>
    <w:rsid w:val="00E36E9C"/>
    <w:rsid w:val="00E36F43"/>
    <w:rsid w:val="00E37048"/>
    <w:rsid w:val="00E3723D"/>
    <w:rsid w:val="00E378AE"/>
    <w:rsid w:val="00E37F0C"/>
    <w:rsid w:val="00E40001"/>
    <w:rsid w:val="00E40337"/>
    <w:rsid w:val="00E40ADF"/>
    <w:rsid w:val="00E40C86"/>
    <w:rsid w:val="00E41668"/>
    <w:rsid w:val="00E418E3"/>
    <w:rsid w:val="00E423DE"/>
    <w:rsid w:val="00E42589"/>
    <w:rsid w:val="00E427D3"/>
    <w:rsid w:val="00E42973"/>
    <w:rsid w:val="00E42F07"/>
    <w:rsid w:val="00E432D9"/>
    <w:rsid w:val="00E4370F"/>
    <w:rsid w:val="00E439DB"/>
    <w:rsid w:val="00E4441D"/>
    <w:rsid w:val="00E453AB"/>
    <w:rsid w:val="00E45AA1"/>
    <w:rsid w:val="00E462E6"/>
    <w:rsid w:val="00E463A0"/>
    <w:rsid w:val="00E47839"/>
    <w:rsid w:val="00E478B3"/>
    <w:rsid w:val="00E5060B"/>
    <w:rsid w:val="00E50B72"/>
    <w:rsid w:val="00E50C3E"/>
    <w:rsid w:val="00E51306"/>
    <w:rsid w:val="00E5179B"/>
    <w:rsid w:val="00E51CDE"/>
    <w:rsid w:val="00E5210B"/>
    <w:rsid w:val="00E53267"/>
    <w:rsid w:val="00E53375"/>
    <w:rsid w:val="00E53631"/>
    <w:rsid w:val="00E5388F"/>
    <w:rsid w:val="00E53924"/>
    <w:rsid w:val="00E53B2F"/>
    <w:rsid w:val="00E54239"/>
    <w:rsid w:val="00E54272"/>
    <w:rsid w:val="00E542BC"/>
    <w:rsid w:val="00E54521"/>
    <w:rsid w:val="00E54617"/>
    <w:rsid w:val="00E5484B"/>
    <w:rsid w:val="00E54C3F"/>
    <w:rsid w:val="00E551AD"/>
    <w:rsid w:val="00E5529E"/>
    <w:rsid w:val="00E55A7E"/>
    <w:rsid w:val="00E56023"/>
    <w:rsid w:val="00E56103"/>
    <w:rsid w:val="00E56D6E"/>
    <w:rsid w:val="00E56ECE"/>
    <w:rsid w:val="00E56FEF"/>
    <w:rsid w:val="00E5707C"/>
    <w:rsid w:val="00E57795"/>
    <w:rsid w:val="00E577F9"/>
    <w:rsid w:val="00E57FB5"/>
    <w:rsid w:val="00E602EA"/>
    <w:rsid w:val="00E606CD"/>
    <w:rsid w:val="00E60AB8"/>
    <w:rsid w:val="00E60F14"/>
    <w:rsid w:val="00E60F25"/>
    <w:rsid w:val="00E615B5"/>
    <w:rsid w:val="00E61B23"/>
    <w:rsid w:val="00E61DCA"/>
    <w:rsid w:val="00E61EBB"/>
    <w:rsid w:val="00E625BE"/>
    <w:rsid w:val="00E626E1"/>
    <w:rsid w:val="00E6284B"/>
    <w:rsid w:val="00E62D07"/>
    <w:rsid w:val="00E62DF6"/>
    <w:rsid w:val="00E633DC"/>
    <w:rsid w:val="00E63A22"/>
    <w:rsid w:val="00E63B8F"/>
    <w:rsid w:val="00E63E28"/>
    <w:rsid w:val="00E643E6"/>
    <w:rsid w:val="00E646B5"/>
    <w:rsid w:val="00E648EF"/>
    <w:rsid w:val="00E64C37"/>
    <w:rsid w:val="00E651AB"/>
    <w:rsid w:val="00E653A8"/>
    <w:rsid w:val="00E65427"/>
    <w:rsid w:val="00E6543F"/>
    <w:rsid w:val="00E65551"/>
    <w:rsid w:val="00E658FD"/>
    <w:rsid w:val="00E66051"/>
    <w:rsid w:val="00E661C0"/>
    <w:rsid w:val="00E663F5"/>
    <w:rsid w:val="00E66A09"/>
    <w:rsid w:val="00E66E97"/>
    <w:rsid w:val="00E6749C"/>
    <w:rsid w:val="00E67D14"/>
    <w:rsid w:val="00E703BE"/>
    <w:rsid w:val="00E709B3"/>
    <w:rsid w:val="00E70B54"/>
    <w:rsid w:val="00E70BD6"/>
    <w:rsid w:val="00E71211"/>
    <w:rsid w:val="00E71305"/>
    <w:rsid w:val="00E71DD3"/>
    <w:rsid w:val="00E71F23"/>
    <w:rsid w:val="00E72383"/>
    <w:rsid w:val="00E723E5"/>
    <w:rsid w:val="00E724D2"/>
    <w:rsid w:val="00E725BB"/>
    <w:rsid w:val="00E72820"/>
    <w:rsid w:val="00E72D9F"/>
    <w:rsid w:val="00E73030"/>
    <w:rsid w:val="00E7369B"/>
    <w:rsid w:val="00E73C41"/>
    <w:rsid w:val="00E73F3A"/>
    <w:rsid w:val="00E7449F"/>
    <w:rsid w:val="00E74641"/>
    <w:rsid w:val="00E74712"/>
    <w:rsid w:val="00E74933"/>
    <w:rsid w:val="00E74EDC"/>
    <w:rsid w:val="00E7559F"/>
    <w:rsid w:val="00E75737"/>
    <w:rsid w:val="00E75875"/>
    <w:rsid w:val="00E75886"/>
    <w:rsid w:val="00E75D6E"/>
    <w:rsid w:val="00E76007"/>
    <w:rsid w:val="00E76181"/>
    <w:rsid w:val="00E770F2"/>
    <w:rsid w:val="00E77761"/>
    <w:rsid w:val="00E77D85"/>
    <w:rsid w:val="00E77EAC"/>
    <w:rsid w:val="00E8019B"/>
    <w:rsid w:val="00E80337"/>
    <w:rsid w:val="00E806C5"/>
    <w:rsid w:val="00E80B90"/>
    <w:rsid w:val="00E81069"/>
    <w:rsid w:val="00E8141A"/>
    <w:rsid w:val="00E8177B"/>
    <w:rsid w:val="00E817AD"/>
    <w:rsid w:val="00E817EF"/>
    <w:rsid w:val="00E8184F"/>
    <w:rsid w:val="00E81E98"/>
    <w:rsid w:val="00E823CF"/>
    <w:rsid w:val="00E828D5"/>
    <w:rsid w:val="00E82D81"/>
    <w:rsid w:val="00E82E08"/>
    <w:rsid w:val="00E82FAF"/>
    <w:rsid w:val="00E83259"/>
    <w:rsid w:val="00E83622"/>
    <w:rsid w:val="00E83852"/>
    <w:rsid w:val="00E839BE"/>
    <w:rsid w:val="00E83CAC"/>
    <w:rsid w:val="00E847ED"/>
    <w:rsid w:val="00E84AA2"/>
    <w:rsid w:val="00E84C89"/>
    <w:rsid w:val="00E85473"/>
    <w:rsid w:val="00E857CB"/>
    <w:rsid w:val="00E85E56"/>
    <w:rsid w:val="00E860DD"/>
    <w:rsid w:val="00E8615D"/>
    <w:rsid w:val="00E866DE"/>
    <w:rsid w:val="00E86815"/>
    <w:rsid w:val="00E86C5B"/>
    <w:rsid w:val="00E86F5C"/>
    <w:rsid w:val="00E870BF"/>
    <w:rsid w:val="00E8713D"/>
    <w:rsid w:val="00E87502"/>
    <w:rsid w:val="00E87882"/>
    <w:rsid w:val="00E87AC8"/>
    <w:rsid w:val="00E90329"/>
    <w:rsid w:val="00E904DD"/>
    <w:rsid w:val="00E904E9"/>
    <w:rsid w:val="00E90702"/>
    <w:rsid w:val="00E90FFB"/>
    <w:rsid w:val="00E910D5"/>
    <w:rsid w:val="00E922C4"/>
    <w:rsid w:val="00E93FCD"/>
    <w:rsid w:val="00E94034"/>
    <w:rsid w:val="00E943AE"/>
    <w:rsid w:val="00E947B0"/>
    <w:rsid w:val="00E94A4C"/>
    <w:rsid w:val="00E95D82"/>
    <w:rsid w:val="00E95F21"/>
    <w:rsid w:val="00E96273"/>
    <w:rsid w:val="00E9649E"/>
    <w:rsid w:val="00E96E97"/>
    <w:rsid w:val="00E979AA"/>
    <w:rsid w:val="00E97D49"/>
    <w:rsid w:val="00EA0070"/>
    <w:rsid w:val="00EA0251"/>
    <w:rsid w:val="00EA02FC"/>
    <w:rsid w:val="00EA0590"/>
    <w:rsid w:val="00EA1065"/>
    <w:rsid w:val="00EA1434"/>
    <w:rsid w:val="00EA1FDD"/>
    <w:rsid w:val="00EA2011"/>
    <w:rsid w:val="00EA3C3E"/>
    <w:rsid w:val="00EA3E5F"/>
    <w:rsid w:val="00EA4066"/>
    <w:rsid w:val="00EA4694"/>
    <w:rsid w:val="00EA48D3"/>
    <w:rsid w:val="00EA4C3E"/>
    <w:rsid w:val="00EA546B"/>
    <w:rsid w:val="00EA5743"/>
    <w:rsid w:val="00EA57C5"/>
    <w:rsid w:val="00EA5D7E"/>
    <w:rsid w:val="00EA5F31"/>
    <w:rsid w:val="00EA5F92"/>
    <w:rsid w:val="00EA618D"/>
    <w:rsid w:val="00EA64B4"/>
    <w:rsid w:val="00EA65F1"/>
    <w:rsid w:val="00EA6665"/>
    <w:rsid w:val="00EA6935"/>
    <w:rsid w:val="00EA6967"/>
    <w:rsid w:val="00EA6F44"/>
    <w:rsid w:val="00EA71E3"/>
    <w:rsid w:val="00EA7613"/>
    <w:rsid w:val="00EA793B"/>
    <w:rsid w:val="00EA7A7E"/>
    <w:rsid w:val="00EA7EC2"/>
    <w:rsid w:val="00EB05DA"/>
    <w:rsid w:val="00EB0BD3"/>
    <w:rsid w:val="00EB12BB"/>
    <w:rsid w:val="00EB190F"/>
    <w:rsid w:val="00EB235B"/>
    <w:rsid w:val="00EB2AB4"/>
    <w:rsid w:val="00EB31A3"/>
    <w:rsid w:val="00EB325B"/>
    <w:rsid w:val="00EB3935"/>
    <w:rsid w:val="00EB3E22"/>
    <w:rsid w:val="00EB3FD9"/>
    <w:rsid w:val="00EB400C"/>
    <w:rsid w:val="00EB4F7F"/>
    <w:rsid w:val="00EB500B"/>
    <w:rsid w:val="00EB519F"/>
    <w:rsid w:val="00EB6174"/>
    <w:rsid w:val="00EB693B"/>
    <w:rsid w:val="00EB7335"/>
    <w:rsid w:val="00EB74F1"/>
    <w:rsid w:val="00EB7BA9"/>
    <w:rsid w:val="00EB7D75"/>
    <w:rsid w:val="00EC08EC"/>
    <w:rsid w:val="00EC0A27"/>
    <w:rsid w:val="00EC0B20"/>
    <w:rsid w:val="00EC0DA7"/>
    <w:rsid w:val="00EC0E99"/>
    <w:rsid w:val="00EC0EE7"/>
    <w:rsid w:val="00EC105F"/>
    <w:rsid w:val="00EC1C3A"/>
    <w:rsid w:val="00EC1F51"/>
    <w:rsid w:val="00EC22CF"/>
    <w:rsid w:val="00EC2B1D"/>
    <w:rsid w:val="00EC2DA4"/>
    <w:rsid w:val="00EC3390"/>
    <w:rsid w:val="00EC373D"/>
    <w:rsid w:val="00EC3C7F"/>
    <w:rsid w:val="00EC40A8"/>
    <w:rsid w:val="00EC4233"/>
    <w:rsid w:val="00EC44F0"/>
    <w:rsid w:val="00EC4544"/>
    <w:rsid w:val="00EC49F8"/>
    <w:rsid w:val="00EC4A85"/>
    <w:rsid w:val="00EC512B"/>
    <w:rsid w:val="00EC576D"/>
    <w:rsid w:val="00EC57B2"/>
    <w:rsid w:val="00EC58F4"/>
    <w:rsid w:val="00EC5E79"/>
    <w:rsid w:val="00EC6037"/>
    <w:rsid w:val="00EC650B"/>
    <w:rsid w:val="00EC6EBB"/>
    <w:rsid w:val="00EC75A5"/>
    <w:rsid w:val="00EC7808"/>
    <w:rsid w:val="00EC7AF8"/>
    <w:rsid w:val="00EC7BFA"/>
    <w:rsid w:val="00EC7D36"/>
    <w:rsid w:val="00ED0108"/>
    <w:rsid w:val="00ED0203"/>
    <w:rsid w:val="00ED042E"/>
    <w:rsid w:val="00ED0C22"/>
    <w:rsid w:val="00ED1295"/>
    <w:rsid w:val="00ED12AE"/>
    <w:rsid w:val="00ED1559"/>
    <w:rsid w:val="00ED1672"/>
    <w:rsid w:val="00ED1773"/>
    <w:rsid w:val="00ED18BF"/>
    <w:rsid w:val="00ED2725"/>
    <w:rsid w:val="00ED30CA"/>
    <w:rsid w:val="00ED3122"/>
    <w:rsid w:val="00ED34D1"/>
    <w:rsid w:val="00ED367F"/>
    <w:rsid w:val="00ED4206"/>
    <w:rsid w:val="00ED58A2"/>
    <w:rsid w:val="00ED58C3"/>
    <w:rsid w:val="00ED59D8"/>
    <w:rsid w:val="00ED5A66"/>
    <w:rsid w:val="00ED5C71"/>
    <w:rsid w:val="00ED5EEE"/>
    <w:rsid w:val="00ED5FD2"/>
    <w:rsid w:val="00ED667C"/>
    <w:rsid w:val="00ED74DB"/>
    <w:rsid w:val="00ED7966"/>
    <w:rsid w:val="00EE01CC"/>
    <w:rsid w:val="00EE04EE"/>
    <w:rsid w:val="00EE057A"/>
    <w:rsid w:val="00EE0EFD"/>
    <w:rsid w:val="00EE0F22"/>
    <w:rsid w:val="00EE1424"/>
    <w:rsid w:val="00EE1760"/>
    <w:rsid w:val="00EE1D45"/>
    <w:rsid w:val="00EE287D"/>
    <w:rsid w:val="00EE381E"/>
    <w:rsid w:val="00EE3B32"/>
    <w:rsid w:val="00EE3CFF"/>
    <w:rsid w:val="00EE3F39"/>
    <w:rsid w:val="00EE414C"/>
    <w:rsid w:val="00EE44FE"/>
    <w:rsid w:val="00EE4755"/>
    <w:rsid w:val="00EE4808"/>
    <w:rsid w:val="00EE5406"/>
    <w:rsid w:val="00EE54C7"/>
    <w:rsid w:val="00EE5E5B"/>
    <w:rsid w:val="00EE5EF8"/>
    <w:rsid w:val="00EE61AF"/>
    <w:rsid w:val="00EE63A6"/>
    <w:rsid w:val="00EE6964"/>
    <w:rsid w:val="00EE6A1D"/>
    <w:rsid w:val="00EE6D18"/>
    <w:rsid w:val="00EE6D68"/>
    <w:rsid w:val="00EE71D8"/>
    <w:rsid w:val="00EE78F3"/>
    <w:rsid w:val="00EE7E7A"/>
    <w:rsid w:val="00EF04D8"/>
    <w:rsid w:val="00EF05CC"/>
    <w:rsid w:val="00EF0A6B"/>
    <w:rsid w:val="00EF1230"/>
    <w:rsid w:val="00EF133B"/>
    <w:rsid w:val="00EF21B3"/>
    <w:rsid w:val="00EF2236"/>
    <w:rsid w:val="00EF223B"/>
    <w:rsid w:val="00EF256C"/>
    <w:rsid w:val="00EF29DE"/>
    <w:rsid w:val="00EF3303"/>
    <w:rsid w:val="00EF3683"/>
    <w:rsid w:val="00EF3978"/>
    <w:rsid w:val="00EF3AAC"/>
    <w:rsid w:val="00EF418D"/>
    <w:rsid w:val="00EF4C90"/>
    <w:rsid w:val="00EF4D42"/>
    <w:rsid w:val="00EF4EF2"/>
    <w:rsid w:val="00EF4FD1"/>
    <w:rsid w:val="00EF51C0"/>
    <w:rsid w:val="00EF5318"/>
    <w:rsid w:val="00EF64D1"/>
    <w:rsid w:val="00EF6578"/>
    <w:rsid w:val="00EF66AA"/>
    <w:rsid w:val="00EF708A"/>
    <w:rsid w:val="00EF72C3"/>
    <w:rsid w:val="00EF777B"/>
    <w:rsid w:val="00EF79CE"/>
    <w:rsid w:val="00EF7E4C"/>
    <w:rsid w:val="00F00152"/>
    <w:rsid w:val="00F00352"/>
    <w:rsid w:val="00F00471"/>
    <w:rsid w:val="00F00B1B"/>
    <w:rsid w:val="00F00E37"/>
    <w:rsid w:val="00F00F75"/>
    <w:rsid w:val="00F010EE"/>
    <w:rsid w:val="00F01383"/>
    <w:rsid w:val="00F0167D"/>
    <w:rsid w:val="00F0177A"/>
    <w:rsid w:val="00F019D5"/>
    <w:rsid w:val="00F01FE5"/>
    <w:rsid w:val="00F023D7"/>
    <w:rsid w:val="00F02500"/>
    <w:rsid w:val="00F02F87"/>
    <w:rsid w:val="00F032E2"/>
    <w:rsid w:val="00F037E3"/>
    <w:rsid w:val="00F03872"/>
    <w:rsid w:val="00F03FF2"/>
    <w:rsid w:val="00F0433E"/>
    <w:rsid w:val="00F04C73"/>
    <w:rsid w:val="00F04F9E"/>
    <w:rsid w:val="00F05484"/>
    <w:rsid w:val="00F05726"/>
    <w:rsid w:val="00F0655E"/>
    <w:rsid w:val="00F06A47"/>
    <w:rsid w:val="00F06E0B"/>
    <w:rsid w:val="00F0717F"/>
    <w:rsid w:val="00F0747A"/>
    <w:rsid w:val="00F0780A"/>
    <w:rsid w:val="00F07849"/>
    <w:rsid w:val="00F07882"/>
    <w:rsid w:val="00F07883"/>
    <w:rsid w:val="00F079E6"/>
    <w:rsid w:val="00F10177"/>
    <w:rsid w:val="00F104A1"/>
    <w:rsid w:val="00F10631"/>
    <w:rsid w:val="00F10D3F"/>
    <w:rsid w:val="00F10D83"/>
    <w:rsid w:val="00F11173"/>
    <w:rsid w:val="00F1196B"/>
    <w:rsid w:val="00F11A6A"/>
    <w:rsid w:val="00F11D08"/>
    <w:rsid w:val="00F11FE6"/>
    <w:rsid w:val="00F121B3"/>
    <w:rsid w:val="00F1227D"/>
    <w:rsid w:val="00F1234C"/>
    <w:rsid w:val="00F126BD"/>
    <w:rsid w:val="00F12E39"/>
    <w:rsid w:val="00F12FF5"/>
    <w:rsid w:val="00F130FA"/>
    <w:rsid w:val="00F133DA"/>
    <w:rsid w:val="00F13433"/>
    <w:rsid w:val="00F134FC"/>
    <w:rsid w:val="00F1350E"/>
    <w:rsid w:val="00F13581"/>
    <w:rsid w:val="00F13935"/>
    <w:rsid w:val="00F13FC9"/>
    <w:rsid w:val="00F14419"/>
    <w:rsid w:val="00F1470E"/>
    <w:rsid w:val="00F147A5"/>
    <w:rsid w:val="00F14AA7"/>
    <w:rsid w:val="00F14D15"/>
    <w:rsid w:val="00F14FC2"/>
    <w:rsid w:val="00F15378"/>
    <w:rsid w:val="00F15884"/>
    <w:rsid w:val="00F15B8E"/>
    <w:rsid w:val="00F15E6E"/>
    <w:rsid w:val="00F15EF6"/>
    <w:rsid w:val="00F16665"/>
    <w:rsid w:val="00F16FB0"/>
    <w:rsid w:val="00F17246"/>
    <w:rsid w:val="00F1733B"/>
    <w:rsid w:val="00F17474"/>
    <w:rsid w:val="00F201CC"/>
    <w:rsid w:val="00F20336"/>
    <w:rsid w:val="00F20370"/>
    <w:rsid w:val="00F20487"/>
    <w:rsid w:val="00F204A2"/>
    <w:rsid w:val="00F2050E"/>
    <w:rsid w:val="00F208FC"/>
    <w:rsid w:val="00F20F65"/>
    <w:rsid w:val="00F21023"/>
    <w:rsid w:val="00F2106D"/>
    <w:rsid w:val="00F21C4A"/>
    <w:rsid w:val="00F222B5"/>
    <w:rsid w:val="00F22337"/>
    <w:rsid w:val="00F223ED"/>
    <w:rsid w:val="00F22D65"/>
    <w:rsid w:val="00F22F82"/>
    <w:rsid w:val="00F23175"/>
    <w:rsid w:val="00F23F6E"/>
    <w:rsid w:val="00F23FB0"/>
    <w:rsid w:val="00F2480A"/>
    <w:rsid w:val="00F24891"/>
    <w:rsid w:val="00F24B9F"/>
    <w:rsid w:val="00F24CA6"/>
    <w:rsid w:val="00F24F8F"/>
    <w:rsid w:val="00F2556C"/>
    <w:rsid w:val="00F256AE"/>
    <w:rsid w:val="00F25773"/>
    <w:rsid w:val="00F257FA"/>
    <w:rsid w:val="00F26004"/>
    <w:rsid w:val="00F270E8"/>
    <w:rsid w:val="00F27C43"/>
    <w:rsid w:val="00F27E5C"/>
    <w:rsid w:val="00F27EF5"/>
    <w:rsid w:val="00F27F59"/>
    <w:rsid w:val="00F27FDB"/>
    <w:rsid w:val="00F30251"/>
    <w:rsid w:val="00F305CC"/>
    <w:rsid w:val="00F30AF4"/>
    <w:rsid w:val="00F3139B"/>
    <w:rsid w:val="00F3179A"/>
    <w:rsid w:val="00F31969"/>
    <w:rsid w:val="00F31D35"/>
    <w:rsid w:val="00F31D54"/>
    <w:rsid w:val="00F31F21"/>
    <w:rsid w:val="00F31F5A"/>
    <w:rsid w:val="00F31FA4"/>
    <w:rsid w:val="00F32357"/>
    <w:rsid w:val="00F32C70"/>
    <w:rsid w:val="00F3386E"/>
    <w:rsid w:val="00F33D9C"/>
    <w:rsid w:val="00F3420C"/>
    <w:rsid w:val="00F34E02"/>
    <w:rsid w:val="00F350CF"/>
    <w:rsid w:val="00F35242"/>
    <w:rsid w:val="00F3549E"/>
    <w:rsid w:val="00F35FEC"/>
    <w:rsid w:val="00F365A7"/>
    <w:rsid w:val="00F3681C"/>
    <w:rsid w:val="00F3769D"/>
    <w:rsid w:val="00F37A7E"/>
    <w:rsid w:val="00F37AA0"/>
    <w:rsid w:val="00F37AD1"/>
    <w:rsid w:val="00F37C4D"/>
    <w:rsid w:val="00F404F4"/>
    <w:rsid w:val="00F408DC"/>
    <w:rsid w:val="00F40EC8"/>
    <w:rsid w:val="00F4143E"/>
    <w:rsid w:val="00F41CC5"/>
    <w:rsid w:val="00F41D25"/>
    <w:rsid w:val="00F42307"/>
    <w:rsid w:val="00F423C2"/>
    <w:rsid w:val="00F433F8"/>
    <w:rsid w:val="00F433FE"/>
    <w:rsid w:val="00F435CE"/>
    <w:rsid w:val="00F43627"/>
    <w:rsid w:val="00F43781"/>
    <w:rsid w:val="00F43DE8"/>
    <w:rsid w:val="00F4463C"/>
    <w:rsid w:val="00F44FFF"/>
    <w:rsid w:val="00F45A04"/>
    <w:rsid w:val="00F465BF"/>
    <w:rsid w:val="00F4731A"/>
    <w:rsid w:val="00F4737A"/>
    <w:rsid w:val="00F473A5"/>
    <w:rsid w:val="00F473F3"/>
    <w:rsid w:val="00F47463"/>
    <w:rsid w:val="00F474B8"/>
    <w:rsid w:val="00F478CA"/>
    <w:rsid w:val="00F47CE2"/>
    <w:rsid w:val="00F501F3"/>
    <w:rsid w:val="00F505CA"/>
    <w:rsid w:val="00F5080F"/>
    <w:rsid w:val="00F50A98"/>
    <w:rsid w:val="00F50E5F"/>
    <w:rsid w:val="00F50E69"/>
    <w:rsid w:val="00F51217"/>
    <w:rsid w:val="00F51460"/>
    <w:rsid w:val="00F5161B"/>
    <w:rsid w:val="00F51667"/>
    <w:rsid w:val="00F51FCA"/>
    <w:rsid w:val="00F521DC"/>
    <w:rsid w:val="00F52485"/>
    <w:rsid w:val="00F53199"/>
    <w:rsid w:val="00F53936"/>
    <w:rsid w:val="00F541A1"/>
    <w:rsid w:val="00F5438C"/>
    <w:rsid w:val="00F54B09"/>
    <w:rsid w:val="00F54BEA"/>
    <w:rsid w:val="00F54E8A"/>
    <w:rsid w:val="00F5523A"/>
    <w:rsid w:val="00F55346"/>
    <w:rsid w:val="00F559A8"/>
    <w:rsid w:val="00F559E9"/>
    <w:rsid w:val="00F55C0A"/>
    <w:rsid w:val="00F55C21"/>
    <w:rsid w:val="00F55E5F"/>
    <w:rsid w:val="00F55F6D"/>
    <w:rsid w:val="00F56087"/>
    <w:rsid w:val="00F561E6"/>
    <w:rsid w:val="00F56215"/>
    <w:rsid w:val="00F56720"/>
    <w:rsid w:val="00F56BD1"/>
    <w:rsid w:val="00F5736B"/>
    <w:rsid w:val="00F5757F"/>
    <w:rsid w:val="00F57880"/>
    <w:rsid w:val="00F57C36"/>
    <w:rsid w:val="00F57F44"/>
    <w:rsid w:val="00F600EE"/>
    <w:rsid w:val="00F608AB"/>
    <w:rsid w:val="00F60ACA"/>
    <w:rsid w:val="00F60BE7"/>
    <w:rsid w:val="00F6103D"/>
    <w:rsid w:val="00F610C3"/>
    <w:rsid w:val="00F61109"/>
    <w:rsid w:val="00F6159C"/>
    <w:rsid w:val="00F616CB"/>
    <w:rsid w:val="00F61714"/>
    <w:rsid w:val="00F6238F"/>
    <w:rsid w:val="00F63B44"/>
    <w:rsid w:val="00F63E59"/>
    <w:rsid w:val="00F64BE0"/>
    <w:rsid w:val="00F65B68"/>
    <w:rsid w:val="00F6604D"/>
    <w:rsid w:val="00F66CE8"/>
    <w:rsid w:val="00F6706F"/>
    <w:rsid w:val="00F67846"/>
    <w:rsid w:val="00F67A3B"/>
    <w:rsid w:val="00F67B42"/>
    <w:rsid w:val="00F70357"/>
    <w:rsid w:val="00F70B72"/>
    <w:rsid w:val="00F70C73"/>
    <w:rsid w:val="00F70DEF"/>
    <w:rsid w:val="00F70E0C"/>
    <w:rsid w:val="00F70EA3"/>
    <w:rsid w:val="00F710C6"/>
    <w:rsid w:val="00F71398"/>
    <w:rsid w:val="00F7151D"/>
    <w:rsid w:val="00F72265"/>
    <w:rsid w:val="00F72500"/>
    <w:rsid w:val="00F7294C"/>
    <w:rsid w:val="00F72A2D"/>
    <w:rsid w:val="00F72C5F"/>
    <w:rsid w:val="00F72FA0"/>
    <w:rsid w:val="00F73006"/>
    <w:rsid w:val="00F73549"/>
    <w:rsid w:val="00F73822"/>
    <w:rsid w:val="00F73E27"/>
    <w:rsid w:val="00F7456E"/>
    <w:rsid w:val="00F7564A"/>
    <w:rsid w:val="00F75782"/>
    <w:rsid w:val="00F75A80"/>
    <w:rsid w:val="00F75C6F"/>
    <w:rsid w:val="00F76423"/>
    <w:rsid w:val="00F76DD1"/>
    <w:rsid w:val="00F77090"/>
    <w:rsid w:val="00F77D8F"/>
    <w:rsid w:val="00F77DD3"/>
    <w:rsid w:val="00F80093"/>
    <w:rsid w:val="00F80C19"/>
    <w:rsid w:val="00F80C1D"/>
    <w:rsid w:val="00F81130"/>
    <w:rsid w:val="00F818F7"/>
    <w:rsid w:val="00F81A02"/>
    <w:rsid w:val="00F81C5F"/>
    <w:rsid w:val="00F8203B"/>
    <w:rsid w:val="00F829B5"/>
    <w:rsid w:val="00F82D31"/>
    <w:rsid w:val="00F8325D"/>
    <w:rsid w:val="00F832A9"/>
    <w:rsid w:val="00F832B0"/>
    <w:rsid w:val="00F83307"/>
    <w:rsid w:val="00F8330C"/>
    <w:rsid w:val="00F833A5"/>
    <w:rsid w:val="00F833EE"/>
    <w:rsid w:val="00F83C6C"/>
    <w:rsid w:val="00F841CD"/>
    <w:rsid w:val="00F844D3"/>
    <w:rsid w:val="00F84532"/>
    <w:rsid w:val="00F84629"/>
    <w:rsid w:val="00F8493D"/>
    <w:rsid w:val="00F84B71"/>
    <w:rsid w:val="00F84F0E"/>
    <w:rsid w:val="00F8519E"/>
    <w:rsid w:val="00F85CDD"/>
    <w:rsid w:val="00F85FF5"/>
    <w:rsid w:val="00F8601D"/>
    <w:rsid w:val="00F860CC"/>
    <w:rsid w:val="00F866B9"/>
    <w:rsid w:val="00F86BB4"/>
    <w:rsid w:val="00F870F5"/>
    <w:rsid w:val="00F87206"/>
    <w:rsid w:val="00F8776A"/>
    <w:rsid w:val="00F877F6"/>
    <w:rsid w:val="00F87FCE"/>
    <w:rsid w:val="00F9024D"/>
    <w:rsid w:val="00F902D2"/>
    <w:rsid w:val="00F90B12"/>
    <w:rsid w:val="00F90CBD"/>
    <w:rsid w:val="00F9109E"/>
    <w:rsid w:val="00F91248"/>
    <w:rsid w:val="00F9131C"/>
    <w:rsid w:val="00F9177E"/>
    <w:rsid w:val="00F91E4F"/>
    <w:rsid w:val="00F91FDF"/>
    <w:rsid w:val="00F92410"/>
    <w:rsid w:val="00F9273D"/>
    <w:rsid w:val="00F92AA1"/>
    <w:rsid w:val="00F92FDC"/>
    <w:rsid w:val="00F931D2"/>
    <w:rsid w:val="00F93431"/>
    <w:rsid w:val="00F93A03"/>
    <w:rsid w:val="00F93A4A"/>
    <w:rsid w:val="00F93AF9"/>
    <w:rsid w:val="00F93D27"/>
    <w:rsid w:val="00F93E88"/>
    <w:rsid w:val="00F94058"/>
    <w:rsid w:val="00F9470C"/>
    <w:rsid w:val="00F94B05"/>
    <w:rsid w:val="00F94D22"/>
    <w:rsid w:val="00F95DD6"/>
    <w:rsid w:val="00F962C2"/>
    <w:rsid w:val="00F96370"/>
    <w:rsid w:val="00F967FA"/>
    <w:rsid w:val="00F96947"/>
    <w:rsid w:val="00F96CD1"/>
    <w:rsid w:val="00F96EF3"/>
    <w:rsid w:val="00F97464"/>
    <w:rsid w:val="00F97836"/>
    <w:rsid w:val="00F97940"/>
    <w:rsid w:val="00F97A6A"/>
    <w:rsid w:val="00F97BA3"/>
    <w:rsid w:val="00F97D99"/>
    <w:rsid w:val="00F97EA2"/>
    <w:rsid w:val="00F97F0D"/>
    <w:rsid w:val="00FA0013"/>
    <w:rsid w:val="00FA0B0A"/>
    <w:rsid w:val="00FA121C"/>
    <w:rsid w:val="00FA1407"/>
    <w:rsid w:val="00FA1A68"/>
    <w:rsid w:val="00FA1B1A"/>
    <w:rsid w:val="00FA1F32"/>
    <w:rsid w:val="00FA2730"/>
    <w:rsid w:val="00FA2747"/>
    <w:rsid w:val="00FA2912"/>
    <w:rsid w:val="00FA2A33"/>
    <w:rsid w:val="00FA2AA9"/>
    <w:rsid w:val="00FA2C8F"/>
    <w:rsid w:val="00FA2CF7"/>
    <w:rsid w:val="00FA32C1"/>
    <w:rsid w:val="00FA3410"/>
    <w:rsid w:val="00FA350A"/>
    <w:rsid w:val="00FA360B"/>
    <w:rsid w:val="00FA372D"/>
    <w:rsid w:val="00FA3860"/>
    <w:rsid w:val="00FA3A50"/>
    <w:rsid w:val="00FA40DD"/>
    <w:rsid w:val="00FA4494"/>
    <w:rsid w:val="00FA4591"/>
    <w:rsid w:val="00FA45E4"/>
    <w:rsid w:val="00FA4763"/>
    <w:rsid w:val="00FA4830"/>
    <w:rsid w:val="00FA5032"/>
    <w:rsid w:val="00FA544D"/>
    <w:rsid w:val="00FA566D"/>
    <w:rsid w:val="00FA6980"/>
    <w:rsid w:val="00FA6C75"/>
    <w:rsid w:val="00FA6CDF"/>
    <w:rsid w:val="00FA6FA2"/>
    <w:rsid w:val="00FA7192"/>
    <w:rsid w:val="00FA71A5"/>
    <w:rsid w:val="00FA7699"/>
    <w:rsid w:val="00FA7BB5"/>
    <w:rsid w:val="00FA7C85"/>
    <w:rsid w:val="00FB0978"/>
    <w:rsid w:val="00FB0ADC"/>
    <w:rsid w:val="00FB12D8"/>
    <w:rsid w:val="00FB176A"/>
    <w:rsid w:val="00FB178F"/>
    <w:rsid w:val="00FB19F3"/>
    <w:rsid w:val="00FB1B03"/>
    <w:rsid w:val="00FB1B0C"/>
    <w:rsid w:val="00FB1B8F"/>
    <w:rsid w:val="00FB1CDC"/>
    <w:rsid w:val="00FB2377"/>
    <w:rsid w:val="00FB238A"/>
    <w:rsid w:val="00FB2446"/>
    <w:rsid w:val="00FB289B"/>
    <w:rsid w:val="00FB2C81"/>
    <w:rsid w:val="00FB2E79"/>
    <w:rsid w:val="00FB30C3"/>
    <w:rsid w:val="00FB30E3"/>
    <w:rsid w:val="00FB3B7A"/>
    <w:rsid w:val="00FB3BC4"/>
    <w:rsid w:val="00FB3D65"/>
    <w:rsid w:val="00FB3F9C"/>
    <w:rsid w:val="00FB3FDE"/>
    <w:rsid w:val="00FB4115"/>
    <w:rsid w:val="00FB4195"/>
    <w:rsid w:val="00FB4491"/>
    <w:rsid w:val="00FB4676"/>
    <w:rsid w:val="00FB4980"/>
    <w:rsid w:val="00FB503E"/>
    <w:rsid w:val="00FB505A"/>
    <w:rsid w:val="00FB5552"/>
    <w:rsid w:val="00FB5554"/>
    <w:rsid w:val="00FB5661"/>
    <w:rsid w:val="00FB5789"/>
    <w:rsid w:val="00FB57DD"/>
    <w:rsid w:val="00FB5F3A"/>
    <w:rsid w:val="00FB6382"/>
    <w:rsid w:val="00FB64D0"/>
    <w:rsid w:val="00FB6AA9"/>
    <w:rsid w:val="00FB6AD4"/>
    <w:rsid w:val="00FB6E50"/>
    <w:rsid w:val="00FB7175"/>
    <w:rsid w:val="00FB71FC"/>
    <w:rsid w:val="00FB7F22"/>
    <w:rsid w:val="00FC00F3"/>
    <w:rsid w:val="00FC0174"/>
    <w:rsid w:val="00FC0A33"/>
    <w:rsid w:val="00FC11C4"/>
    <w:rsid w:val="00FC1416"/>
    <w:rsid w:val="00FC14B2"/>
    <w:rsid w:val="00FC1823"/>
    <w:rsid w:val="00FC2198"/>
    <w:rsid w:val="00FC21B9"/>
    <w:rsid w:val="00FC26A4"/>
    <w:rsid w:val="00FC2C93"/>
    <w:rsid w:val="00FC325A"/>
    <w:rsid w:val="00FC33ED"/>
    <w:rsid w:val="00FC3C34"/>
    <w:rsid w:val="00FC3D8A"/>
    <w:rsid w:val="00FC4027"/>
    <w:rsid w:val="00FC43AD"/>
    <w:rsid w:val="00FC468B"/>
    <w:rsid w:val="00FC4825"/>
    <w:rsid w:val="00FC5876"/>
    <w:rsid w:val="00FC5C3F"/>
    <w:rsid w:val="00FC5D65"/>
    <w:rsid w:val="00FC62F5"/>
    <w:rsid w:val="00FC6CFD"/>
    <w:rsid w:val="00FC731E"/>
    <w:rsid w:val="00FC75D5"/>
    <w:rsid w:val="00FC78F1"/>
    <w:rsid w:val="00FC7A6B"/>
    <w:rsid w:val="00FC7C47"/>
    <w:rsid w:val="00FD035A"/>
    <w:rsid w:val="00FD0A78"/>
    <w:rsid w:val="00FD125B"/>
    <w:rsid w:val="00FD19F1"/>
    <w:rsid w:val="00FD1A7E"/>
    <w:rsid w:val="00FD1D7F"/>
    <w:rsid w:val="00FD252E"/>
    <w:rsid w:val="00FD2BE6"/>
    <w:rsid w:val="00FD2CC3"/>
    <w:rsid w:val="00FD31BF"/>
    <w:rsid w:val="00FD3764"/>
    <w:rsid w:val="00FD3CC7"/>
    <w:rsid w:val="00FD4148"/>
    <w:rsid w:val="00FD418A"/>
    <w:rsid w:val="00FD4D5B"/>
    <w:rsid w:val="00FD5283"/>
    <w:rsid w:val="00FD5982"/>
    <w:rsid w:val="00FD6453"/>
    <w:rsid w:val="00FD651C"/>
    <w:rsid w:val="00FD67FD"/>
    <w:rsid w:val="00FD6DD9"/>
    <w:rsid w:val="00FD757A"/>
    <w:rsid w:val="00FD7889"/>
    <w:rsid w:val="00FD7A8A"/>
    <w:rsid w:val="00FD7CB2"/>
    <w:rsid w:val="00FD7D46"/>
    <w:rsid w:val="00FD7D8B"/>
    <w:rsid w:val="00FE0328"/>
    <w:rsid w:val="00FE0491"/>
    <w:rsid w:val="00FE0AF2"/>
    <w:rsid w:val="00FE1339"/>
    <w:rsid w:val="00FE1C47"/>
    <w:rsid w:val="00FE205E"/>
    <w:rsid w:val="00FE22DD"/>
    <w:rsid w:val="00FE26DE"/>
    <w:rsid w:val="00FE29F3"/>
    <w:rsid w:val="00FE2CFB"/>
    <w:rsid w:val="00FE3275"/>
    <w:rsid w:val="00FE4A60"/>
    <w:rsid w:val="00FE519A"/>
    <w:rsid w:val="00FE54E0"/>
    <w:rsid w:val="00FE55A2"/>
    <w:rsid w:val="00FE55F0"/>
    <w:rsid w:val="00FE5B46"/>
    <w:rsid w:val="00FE5D31"/>
    <w:rsid w:val="00FE611F"/>
    <w:rsid w:val="00FE6331"/>
    <w:rsid w:val="00FE685B"/>
    <w:rsid w:val="00FE6C12"/>
    <w:rsid w:val="00FE6DBC"/>
    <w:rsid w:val="00FE75E6"/>
    <w:rsid w:val="00FE7689"/>
    <w:rsid w:val="00FE7821"/>
    <w:rsid w:val="00FE7894"/>
    <w:rsid w:val="00FE7F5D"/>
    <w:rsid w:val="00FF0055"/>
    <w:rsid w:val="00FF01FA"/>
    <w:rsid w:val="00FF0382"/>
    <w:rsid w:val="00FF0BE5"/>
    <w:rsid w:val="00FF0C49"/>
    <w:rsid w:val="00FF0DF3"/>
    <w:rsid w:val="00FF104B"/>
    <w:rsid w:val="00FF1986"/>
    <w:rsid w:val="00FF1C03"/>
    <w:rsid w:val="00FF1C8A"/>
    <w:rsid w:val="00FF1D1F"/>
    <w:rsid w:val="00FF21B5"/>
    <w:rsid w:val="00FF21C3"/>
    <w:rsid w:val="00FF23BB"/>
    <w:rsid w:val="00FF2A11"/>
    <w:rsid w:val="00FF2AA0"/>
    <w:rsid w:val="00FF2B46"/>
    <w:rsid w:val="00FF2B9E"/>
    <w:rsid w:val="00FF2F00"/>
    <w:rsid w:val="00FF3391"/>
    <w:rsid w:val="00FF3F6C"/>
    <w:rsid w:val="00FF43DE"/>
    <w:rsid w:val="00FF4603"/>
    <w:rsid w:val="00FF4AA5"/>
    <w:rsid w:val="00FF4B07"/>
    <w:rsid w:val="00FF4BFC"/>
    <w:rsid w:val="00FF4C11"/>
    <w:rsid w:val="00FF4DED"/>
    <w:rsid w:val="00FF4F20"/>
    <w:rsid w:val="00FF5553"/>
    <w:rsid w:val="00FF5655"/>
    <w:rsid w:val="00FF56B9"/>
    <w:rsid w:val="00FF57E8"/>
    <w:rsid w:val="00FF58C0"/>
    <w:rsid w:val="00FF5948"/>
    <w:rsid w:val="00FF5EE2"/>
    <w:rsid w:val="00FF6002"/>
    <w:rsid w:val="00FF624B"/>
    <w:rsid w:val="00FF6B71"/>
    <w:rsid w:val="00FF6EDF"/>
    <w:rsid w:val="00FF6EEA"/>
    <w:rsid w:val="00FF716E"/>
    <w:rsid w:val="00FF77DB"/>
    <w:rsid w:val="00FF77DF"/>
    <w:rsid w:val="00FF7ABB"/>
    <w:rsid w:val="00FF7B72"/>
    <w:rsid w:val="00FF7B99"/>
    <w:rsid w:val="0156CF50"/>
    <w:rsid w:val="03F23B02"/>
    <w:rsid w:val="0534BD98"/>
    <w:rsid w:val="07E3BACC"/>
    <w:rsid w:val="087DD73E"/>
    <w:rsid w:val="11A1BF44"/>
    <w:rsid w:val="167CD5C9"/>
    <w:rsid w:val="1AB3BF2E"/>
    <w:rsid w:val="1F3B21B6"/>
    <w:rsid w:val="1F45E501"/>
    <w:rsid w:val="1FD8DBF1"/>
    <w:rsid w:val="2276F1A6"/>
    <w:rsid w:val="240988AC"/>
    <w:rsid w:val="291AE055"/>
    <w:rsid w:val="2B76B175"/>
    <w:rsid w:val="2BE15229"/>
    <w:rsid w:val="2DD2DA91"/>
    <w:rsid w:val="2F3734D5"/>
    <w:rsid w:val="31CB18B5"/>
    <w:rsid w:val="343012CC"/>
    <w:rsid w:val="34632613"/>
    <w:rsid w:val="3623DC9D"/>
    <w:rsid w:val="3921A119"/>
    <w:rsid w:val="44003E16"/>
    <w:rsid w:val="458DCAD8"/>
    <w:rsid w:val="4E3A8302"/>
    <w:rsid w:val="503EFD5F"/>
    <w:rsid w:val="5151C9FA"/>
    <w:rsid w:val="590ACA96"/>
    <w:rsid w:val="5F05EF09"/>
    <w:rsid w:val="605B2120"/>
    <w:rsid w:val="623E5E3E"/>
    <w:rsid w:val="658FEB97"/>
    <w:rsid w:val="65CE285D"/>
    <w:rsid w:val="6691EEFF"/>
    <w:rsid w:val="676A1948"/>
    <w:rsid w:val="6856CB90"/>
    <w:rsid w:val="69ED0816"/>
    <w:rsid w:val="6F13146D"/>
    <w:rsid w:val="6FC743C2"/>
    <w:rsid w:val="70BF1669"/>
    <w:rsid w:val="70D38631"/>
    <w:rsid w:val="74EE3888"/>
    <w:rsid w:val="77C652AE"/>
    <w:rsid w:val="784B6410"/>
    <w:rsid w:val="7980975D"/>
    <w:rsid w:val="7D95350B"/>
    <w:rsid w:val="7F491455"/>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753F4B"/>
  <w14:defaultImageDpi w14:val="330"/>
  <w15:docId w15:val="{53A3BD8B-27AC-4ADE-A365-42F6B9CB4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iPriority="0"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unhideWhenUsed="1"/>
    <w:lsdException w:name="Default Paragraph Font" w:semiHidden="1" w:uiPriority="1" w:unhideWhenUsed="1"/>
    <w:lsdException w:name="Body Text" w:semiHidden="1"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5247"/>
    <w:pPr>
      <w:spacing w:before="120" w:after="120" w:line="280" w:lineRule="atLeast"/>
      <w:jc w:val="both"/>
    </w:pPr>
    <w:rPr>
      <w:rFonts w:ascii="Calibri" w:eastAsiaTheme="minorEastAsia" w:hAnsi="Calibri"/>
      <w:lang w:eastAsia="en-NZ"/>
    </w:rPr>
  </w:style>
  <w:style w:type="paragraph" w:styleId="Heading1">
    <w:name w:val="heading 1"/>
    <w:basedOn w:val="Normal"/>
    <w:next w:val="BodyText"/>
    <w:link w:val="Heading1Char"/>
    <w:qFormat/>
    <w:rsid w:val="00143CA9"/>
    <w:pPr>
      <w:keepNext/>
      <w:tabs>
        <w:tab w:val="left" w:pos="851"/>
      </w:tabs>
      <w:spacing w:before="0" w:after="0" w:line="480" w:lineRule="exact"/>
      <w:jc w:val="left"/>
      <w:outlineLvl w:val="0"/>
    </w:pPr>
    <w:rPr>
      <w:rFonts w:ascii="Georgia" w:eastAsiaTheme="majorEastAsia" w:hAnsi="Georgia" w:cstheme="majorBidi"/>
      <w:b/>
      <w:bCs/>
      <w:color w:val="005B73"/>
      <w:sz w:val="48"/>
      <w:szCs w:val="28"/>
    </w:rPr>
  </w:style>
  <w:style w:type="paragraph" w:styleId="Heading2">
    <w:name w:val="heading 2"/>
    <w:basedOn w:val="Normal"/>
    <w:next w:val="BodyText"/>
    <w:link w:val="Heading2Char"/>
    <w:qFormat/>
    <w:rsid w:val="00143CA9"/>
    <w:pPr>
      <w:keepNext/>
      <w:tabs>
        <w:tab w:val="left" w:pos="851"/>
      </w:tabs>
      <w:spacing w:after="0" w:line="440" w:lineRule="exact"/>
      <w:jc w:val="left"/>
      <w:outlineLvl w:val="1"/>
    </w:pPr>
    <w:rPr>
      <w:rFonts w:ascii="Georgia" w:eastAsiaTheme="majorEastAsia" w:hAnsi="Georgia" w:cstheme="majorBidi"/>
      <w:b/>
      <w:bCs/>
      <w:color w:val="005B73"/>
      <w:sz w:val="36"/>
      <w:szCs w:val="26"/>
    </w:rPr>
  </w:style>
  <w:style w:type="paragraph" w:styleId="Heading3">
    <w:name w:val="heading 3"/>
    <w:basedOn w:val="Normal"/>
    <w:next w:val="BodyText"/>
    <w:link w:val="Heading3Char"/>
    <w:qFormat/>
    <w:rsid w:val="009A2A8A"/>
    <w:pPr>
      <w:keepNext/>
      <w:tabs>
        <w:tab w:val="left" w:pos="851"/>
      </w:tabs>
      <w:spacing w:before="360" w:after="0" w:line="360" w:lineRule="exac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9F1D7F"/>
    <w:pPr>
      <w:outlineLvl w:val="3"/>
    </w:pPr>
    <w:rPr>
      <w:sz w:val="24"/>
    </w:rPr>
  </w:style>
  <w:style w:type="paragraph" w:styleId="Heading5">
    <w:name w:val="heading 5"/>
    <w:basedOn w:val="Normal"/>
    <w:next w:val="BodyText"/>
    <w:link w:val="Heading5Char"/>
    <w:qFormat/>
    <w:rsid w:val="008B68EC"/>
    <w:pPr>
      <w:keepNext/>
      <w:spacing w:before="320" w:after="0" w:line="240" w:lineRule="auto"/>
      <w:jc w:val="left"/>
      <w:outlineLvl w:val="4"/>
    </w:pPr>
    <w:rPr>
      <w:rFonts w:eastAsiaTheme="majorEastAsia" w:cstheme="majorBidi"/>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eastAsia="Times New Roman" w:hAnsi="Times New Roman" w:cs="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eastAsia="Times New Roman" w:hAnsi="Times New Roman" w:cs="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eastAsia="Times New Roman" w:hAnsi="Times New Roman" w:cs="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before="240" w:after="120"/>
      <w:outlineLvl w:val="8"/>
    </w:pPr>
    <w:rPr>
      <w:rFonts w:ascii="Arial" w:eastAsia="Times New Roman" w:hAnsi="Arial" w:cs="Times New Roman"/>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39E5"/>
    <w:rPr>
      <w:rFonts w:ascii="Georgia" w:eastAsiaTheme="majorEastAsia" w:hAnsi="Georgia" w:cstheme="majorBidi"/>
      <w:b/>
      <w:bCs/>
      <w:color w:val="005B73"/>
      <w:sz w:val="48"/>
      <w:szCs w:val="28"/>
      <w:lang w:eastAsia="en-NZ"/>
    </w:rPr>
  </w:style>
  <w:style w:type="character" w:customStyle="1" w:styleId="Heading2Char">
    <w:name w:val="Heading 2 Char"/>
    <w:basedOn w:val="DefaultParagraphFont"/>
    <w:link w:val="Heading2"/>
    <w:rsid w:val="00535D28"/>
    <w:rPr>
      <w:rFonts w:ascii="Georgia" w:eastAsiaTheme="majorEastAsia" w:hAnsi="Georgia" w:cstheme="majorBidi"/>
      <w:b/>
      <w:bCs/>
      <w:color w:val="005B73"/>
      <w:sz w:val="36"/>
      <w:szCs w:val="26"/>
      <w:lang w:eastAsia="en-NZ"/>
    </w:rPr>
  </w:style>
  <w:style w:type="character" w:customStyle="1" w:styleId="Heading3Char">
    <w:name w:val="Heading 3 Char"/>
    <w:basedOn w:val="DefaultParagraphFont"/>
    <w:link w:val="Heading3"/>
    <w:rsid w:val="009A2A8A"/>
    <w:rPr>
      <w:rFonts w:ascii="Georgia" w:eastAsiaTheme="majorEastAsia" w:hAnsi="Georgia" w:cstheme="majorBidi"/>
      <w:b/>
      <w:bCs/>
      <w:sz w:val="28"/>
      <w:lang w:eastAsia="en-NZ"/>
    </w:rPr>
  </w:style>
  <w:style w:type="character" w:customStyle="1" w:styleId="Heading4Char">
    <w:name w:val="Heading 4 Char"/>
    <w:basedOn w:val="DefaultParagraphFont"/>
    <w:link w:val="Heading4"/>
    <w:rsid w:val="009F1D7F"/>
    <w:rPr>
      <w:rFonts w:ascii="Georgia" w:eastAsiaTheme="majorEastAsia" w:hAnsi="Georgia" w:cstheme="majorBidi"/>
      <w:b/>
      <w:bCs/>
      <w:sz w:val="24"/>
      <w:lang w:eastAsia="en-NZ"/>
    </w:rPr>
  </w:style>
  <w:style w:type="character" w:customStyle="1" w:styleId="Heading5Char">
    <w:name w:val="Heading 5 Char"/>
    <w:basedOn w:val="DefaultParagraphFont"/>
    <w:link w:val="Heading5"/>
    <w:rsid w:val="008B68EC"/>
    <w:rPr>
      <w:rFonts w:ascii="Calibri" w:eastAsiaTheme="majorEastAsia" w:hAnsi="Calibri" w:cstheme="majorBidi"/>
      <w:i/>
      <w:sz w:val="24"/>
      <w:lang w:eastAsia="en-NZ"/>
    </w:rPr>
  </w:style>
  <w:style w:type="paragraph" w:styleId="BodyText">
    <w:name w:val="Body Text"/>
    <w:basedOn w:val="Normal"/>
    <w:link w:val="BodyTextChar"/>
    <w:uiPriority w:val="99"/>
    <w:qFormat/>
    <w:rsid w:val="00EA64B4"/>
    <w:pPr>
      <w:jc w:val="left"/>
    </w:pPr>
  </w:style>
  <w:style w:type="character" w:customStyle="1" w:styleId="BodyTextChar">
    <w:name w:val="Body Text Char"/>
    <w:basedOn w:val="DefaultParagraphFont"/>
    <w:link w:val="BodyText"/>
    <w:uiPriority w:val="99"/>
    <w:rsid w:val="00EA64B4"/>
    <w:rPr>
      <w:rFonts w:ascii="Calibri" w:eastAsiaTheme="minorEastAsia" w:hAnsi="Calibri"/>
      <w:lang w:eastAsia="en-NZ"/>
    </w:rPr>
  </w:style>
  <w:style w:type="table" w:styleId="TableGrid">
    <w:name w:val="Table Grid"/>
    <w:basedOn w:val="TableNormal"/>
    <w:uiPriority w:val="59"/>
    <w:rsid w:val="00EA64B4"/>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basedOn w:val="DefaultParagraphFont"/>
    <w:link w:val="Header"/>
    <w:semiHidden/>
    <w:rsid w:val="00F03FF2"/>
    <w:rPr>
      <w:rFonts w:ascii="Arial" w:eastAsiaTheme="minorEastAsia" w:hAnsi="Arial"/>
      <w:sz w:val="16"/>
      <w:lang w:eastAsia="en-NZ"/>
    </w:rPr>
  </w:style>
  <w:style w:type="paragraph" w:styleId="Quote">
    <w:name w:val="Quote"/>
    <w:basedOn w:val="Normal"/>
    <w:next w:val="BodyText"/>
    <w:link w:val="QuoteChar"/>
    <w:uiPriority w:val="2"/>
    <w:qFormat/>
    <w:rsid w:val="00684D9B"/>
    <w:pPr>
      <w:spacing w:before="60" w:after="60"/>
      <w:ind w:left="567" w:right="567"/>
      <w:jc w:val="left"/>
    </w:pPr>
    <w:rPr>
      <w:sz w:val="20"/>
    </w:rPr>
  </w:style>
  <w:style w:type="character" w:customStyle="1" w:styleId="QuoteChar">
    <w:name w:val="Quote Char"/>
    <w:basedOn w:val="DefaultParagraphFont"/>
    <w:link w:val="Quote"/>
    <w:uiPriority w:val="2"/>
    <w:rsid w:val="00C53930"/>
    <w:rPr>
      <w:rFonts w:ascii="Calibri" w:eastAsiaTheme="minorEastAsia" w:hAnsi="Calibri"/>
      <w:sz w:val="20"/>
      <w:lang w:eastAsia="en-NZ"/>
    </w:rPr>
  </w:style>
  <w:style w:type="paragraph" w:customStyle="1" w:styleId="Bullet">
    <w:name w:val="Bullet"/>
    <w:basedOn w:val="Normal"/>
    <w:link w:val="BulletChar"/>
    <w:qFormat/>
    <w:rsid w:val="000A109B"/>
    <w:pPr>
      <w:numPr>
        <w:numId w:val="34"/>
      </w:numPr>
      <w:spacing w:before="0"/>
      <w:jc w:val="left"/>
    </w:pPr>
    <w:rPr>
      <w:rFonts w:eastAsia="Times New Roman" w:cs="Times New Roman"/>
      <w:szCs w:val="20"/>
    </w:rPr>
  </w:style>
  <w:style w:type="paragraph" w:customStyle="1" w:styleId="Heading">
    <w:name w:val="Heading"/>
    <w:basedOn w:val="Heading1"/>
    <w:next w:val="Normal"/>
    <w:uiPriority w:val="3"/>
    <w:rsid w:val="00535D28"/>
  </w:style>
  <w:style w:type="paragraph" w:styleId="Footer">
    <w:name w:val="footer"/>
    <w:basedOn w:val="Normal"/>
    <w:link w:val="FooterChar"/>
    <w:uiPriority w:val="99"/>
    <w:rsid w:val="00EA64B4"/>
    <w:pPr>
      <w:tabs>
        <w:tab w:val="center" w:pos="4153"/>
        <w:tab w:val="right" w:pos="8306"/>
      </w:tabs>
    </w:pPr>
  </w:style>
  <w:style w:type="character" w:customStyle="1" w:styleId="FooterChar">
    <w:name w:val="Footer Char"/>
    <w:basedOn w:val="DefaultParagraphFont"/>
    <w:link w:val="Footer"/>
    <w:uiPriority w:val="99"/>
    <w:rsid w:val="00F03FF2"/>
    <w:rPr>
      <w:rFonts w:ascii="Calibri" w:eastAsiaTheme="minorEastAsia" w:hAnsi="Calibri"/>
      <w:lang w:eastAsia="en-NZ"/>
    </w:rPr>
  </w:style>
  <w:style w:type="paragraph" w:customStyle="1" w:styleId="Bullet-dash">
    <w:name w:val="Bullet - dash"/>
    <w:basedOn w:val="Normal"/>
    <w:qFormat/>
    <w:rsid w:val="002A533C"/>
    <w:pPr>
      <w:numPr>
        <w:numId w:val="4"/>
      </w:numPr>
      <w:tabs>
        <w:tab w:val="clear" w:pos="397"/>
        <w:tab w:val="left" w:pos="794"/>
      </w:tabs>
      <w:spacing w:before="0"/>
      <w:ind w:left="794" w:hanging="397"/>
      <w:jc w:val="left"/>
    </w:pPr>
  </w:style>
  <w:style w:type="paragraph" w:customStyle="1" w:styleId="Figureheading">
    <w:name w:val="Figure heading"/>
    <w:basedOn w:val="Normal"/>
    <w:next w:val="BodyText"/>
    <w:uiPriority w:val="1"/>
    <w:qFormat/>
    <w:rsid w:val="00EA64B4"/>
    <w:pPr>
      <w:keepNext/>
      <w:ind w:left="1134" w:hanging="1134"/>
      <w:jc w:val="left"/>
    </w:pPr>
    <w:rPr>
      <w:b/>
      <w:sz w:val="20"/>
    </w:rPr>
  </w:style>
  <w:style w:type="character" w:styleId="FootnoteReference">
    <w:name w:val="footnote reference"/>
    <w:uiPriority w:val="99"/>
    <w:rsid w:val="00EA64B4"/>
    <w:rPr>
      <w:rFonts w:ascii="Calibri" w:hAnsi="Calibri"/>
      <w:color w:val="183C47"/>
      <w:sz w:val="22"/>
      <w:vertAlign w:val="superscript"/>
    </w:rPr>
  </w:style>
  <w:style w:type="paragraph" w:styleId="FootnoteText">
    <w:name w:val="footnote text"/>
    <w:basedOn w:val="Normal"/>
    <w:link w:val="FootnoteTextChar"/>
    <w:uiPriority w:val="99"/>
    <w:rsid w:val="00EA64B4"/>
    <w:pPr>
      <w:spacing w:before="0" w:after="60" w:line="240" w:lineRule="atLeast"/>
      <w:ind w:left="284" w:hanging="284"/>
      <w:jc w:val="left"/>
    </w:pPr>
    <w:rPr>
      <w:sz w:val="19"/>
    </w:rPr>
  </w:style>
  <w:style w:type="character" w:customStyle="1" w:styleId="FootnoteTextChar">
    <w:name w:val="Footnote Text Char"/>
    <w:basedOn w:val="DefaultParagraphFont"/>
    <w:link w:val="FootnoteText"/>
    <w:uiPriority w:val="99"/>
    <w:rsid w:val="00BE2893"/>
    <w:rPr>
      <w:rFonts w:ascii="Calibri" w:eastAsiaTheme="minorEastAsia" w:hAnsi="Calibri"/>
      <w:sz w:val="19"/>
      <w:lang w:eastAsia="en-NZ"/>
    </w:rPr>
  </w:style>
  <w:style w:type="character" w:styleId="Hyperlink">
    <w:name w:val="Hyperlink"/>
    <w:uiPriority w:val="99"/>
    <w:qFormat/>
    <w:rsid w:val="00B827E8"/>
    <w:rPr>
      <w:color w:val="006AC6"/>
      <w:u w:val="none"/>
    </w:rPr>
  </w:style>
  <w:style w:type="paragraph" w:customStyle="1" w:styleId="Imprint">
    <w:name w:val="Imprint"/>
    <w:basedOn w:val="Normal"/>
    <w:uiPriority w:val="3"/>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1"/>
    <w:qFormat/>
    <w:rsid w:val="00554B30"/>
    <w:pPr>
      <w:spacing w:before="0" w:line="260" w:lineRule="atLeast"/>
      <w:jc w:val="left"/>
    </w:pPr>
    <w:rPr>
      <w:sz w:val="20"/>
    </w:rPr>
  </w:style>
  <w:style w:type="paragraph" w:customStyle="1" w:styleId="Source">
    <w:name w:val="Source"/>
    <w:basedOn w:val="FootnoteText"/>
    <w:next w:val="Normal"/>
    <w:uiPriority w:val="2"/>
    <w:qFormat/>
    <w:rsid w:val="00F91248"/>
    <w:pPr>
      <w:spacing w:after="0" w:line="200" w:lineRule="atLeast"/>
    </w:pPr>
  </w:style>
  <w:style w:type="paragraph" w:styleId="Title">
    <w:name w:val="Title"/>
    <w:basedOn w:val="Normal"/>
    <w:link w:val="TitleChar"/>
    <w:uiPriority w:val="2"/>
    <w:rsid w:val="00921387"/>
    <w:pPr>
      <w:spacing w:line="360" w:lineRule="auto"/>
      <w:jc w:val="center"/>
    </w:pPr>
    <w:rPr>
      <w:rFonts w:ascii="Georgia" w:hAnsi="Georgia"/>
      <w:b/>
      <w:color w:val="005B73"/>
      <w:sz w:val="56"/>
    </w:rPr>
  </w:style>
  <w:style w:type="character" w:customStyle="1" w:styleId="TitleChar">
    <w:name w:val="Title Char"/>
    <w:basedOn w:val="DefaultParagraphFont"/>
    <w:link w:val="Title"/>
    <w:uiPriority w:val="2"/>
    <w:rsid w:val="00921387"/>
    <w:rPr>
      <w:rFonts w:ascii="Georgia" w:eastAsiaTheme="minorEastAsia" w:hAnsi="Georgia"/>
      <w:b/>
      <w:color w:val="005B73"/>
      <w:sz w:val="56"/>
      <w:lang w:eastAsia="en-NZ"/>
    </w:rPr>
  </w:style>
  <w:style w:type="paragraph" w:styleId="Subtitle">
    <w:name w:val="Subtitle"/>
    <w:basedOn w:val="Title"/>
    <w:link w:val="SubtitleChar"/>
    <w:uiPriority w:val="2"/>
    <w:rsid w:val="008639E5"/>
    <w:pPr>
      <w:spacing w:before="600" w:line="240" w:lineRule="auto"/>
    </w:pPr>
    <w:rPr>
      <w:sz w:val="36"/>
      <w:szCs w:val="36"/>
    </w:rPr>
  </w:style>
  <w:style w:type="character" w:customStyle="1" w:styleId="SubtitleChar">
    <w:name w:val="Subtitle Char"/>
    <w:basedOn w:val="DefaultParagraphFont"/>
    <w:link w:val="Subtitle"/>
    <w:uiPriority w:val="2"/>
    <w:rsid w:val="008639E5"/>
    <w:rPr>
      <w:rFonts w:ascii="Georgia" w:eastAsiaTheme="minorEastAsia" w:hAnsi="Georgia"/>
      <w:b/>
      <w:color w:val="005B73"/>
      <w:sz w:val="36"/>
      <w:szCs w:val="36"/>
      <w:lang w:eastAsia="en-NZ"/>
    </w:rPr>
  </w:style>
  <w:style w:type="paragraph" w:customStyle="1" w:styleId="Tableheading">
    <w:name w:val="Table heading"/>
    <w:basedOn w:val="Normal"/>
    <w:next w:val="Normal"/>
    <w:qFormat/>
    <w:rsid w:val="00EA64B4"/>
    <w:pPr>
      <w:keepNext/>
      <w:ind w:left="1134" w:hanging="1134"/>
      <w:jc w:val="left"/>
    </w:pPr>
    <w:rPr>
      <w:b/>
      <w:sz w:val="20"/>
    </w:rPr>
  </w:style>
  <w:style w:type="paragraph" w:customStyle="1" w:styleId="Tabletext">
    <w:name w:val="Table text"/>
    <w:basedOn w:val="Normal"/>
    <w:qFormat/>
    <w:rsid w:val="00EA64B4"/>
    <w:pPr>
      <w:spacing w:before="60" w:after="60" w:line="240" w:lineRule="atLeast"/>
      <w:jc w:val="left"/>
    </w:pPr>
    <w:rPr>
      <w:sz w:val="18"/>
    </w:rPr>
  </w:style>
  <w:style w:type="paragraph" w:customStyle="1" w:styleId="Tabletextbold">
    <w:name w:val="Table text bold"/>
    <w:basedOn w:val="Tabletext"/>
    <w:rsid w:val="00EA64B4"/>
    <w:rPr>
      <w:b/>
    </w:rPr>
  </w:style>
  <w:style w:type="paragraph" w:styleId="TOC1">
    <w:name w:val="toc 1"/>
    <w:basedOn w:val="Normal"/>
    <w:next w:val="Normal"/>
    <w:uiPriority w:val="39"/>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qFormat/>
    <w:rsid w:val="00EA64B4"/>
    <w:pPr>
      <w:tabs>
        <w:tab w:val="left" w:pos="2835"/>
      </w:tabs>
      <w:spacing w:after="0"/>
      <w:jc w:val="left"/>
    </w:pPr>
  </w:style>
  <w:style w:type="paragraph" w:customStyle="1" w:styleId="Footerodd">
    <w:name w:val="Footer odd"/>
    <w:basedOn w:val="Normal"/>
    <w:uiPriority w:val="2"/>
    <w:semiHidden/>
    <w:rsid w:val="00EA64B4"/>
    <w:pPr>
      <w:tabs>
        <w:tab w:val="right" w:pos="7938"/>
        <w:tab w:val="right" w:pos="8505"/>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1"/>
    <w:qFormat/>
    <w:rsid w:val="005B6698"/>
    <w:pPr>
      <w:numPr>
        <w:numId w:val="5"/>
      </w:numPr>
      <w:spacing w:before="0"/>
      <w:jc w:val="left"/>
    </w:pPr>
  </w:style>
  <w:style w:type="paragraph" w:customStyle="1" w:styleId="Sub-lista">
    <w:name w:val="Sub-list a"/>
    <w:aliases w:val="b"/>
    <w:basedOn w:val="Normal"/>
    <w:uiPriority w:val="1"/>
    <w:rsid w:val="00E21ACA"/>
    <w:pPr>
      <w:numPr>
        <w:numId w:val="6"/>
      </w:numPr>
      <w:spacing w:before="0"/>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basedOn w:val="DefaultParagraphFont"/>
    <w:link w:val="EndnoteText"/>
    <w:uiPriority w:val="99"/>
    <w:semiHidden/>
    <w:rsid w:val="00EA64B4"/>
    <w:rPr>
      <w:rFonts w:ascii="Calibri" w:eastAsiaTheme="minorEastAsia" w:hAnsi="Calibri"/>
      <w:sz w:val="20"/>
      <w:lang w:eastAsia="en-NZ"/>
    </w:rPr>
  </w:style>
  <w:style w:type="paragraph" w:styleId="TOC3">
    <w:name w:val="toc 3"/>
    <w:basedOn w:val="Normal"/>
    <w:next w:val="Normal"/>
    <w:autoRedefine/>
    <w:semiHidden/>
    <w:rsid w:val="00EA64B4"/>
    <w:pPr>
      <w:ind w:left="440"/>
    </w:pPr>
  </w:style>
  <w:style w:type="paragraph" w:styleId="TableofFigures">
    <w:name w:val="table of figures"/>
    <w:basedOn w:val="Normal"/>
    <w:next w:val="Normal"/>
    <w:uiPriority w:val="99"/>
    <w:rsid w:val="00356C3D"/>
    <w:pPr>
      <w:spacing w:before="0"/>
      <w:ind w:left="1134" w:right="567" w:hanging="1134"/>
      <w:jc w:val="left"/>
    </w:pPr>
  </w:style>
  <w:style w:type="paragraph" w:customStyle="1" w:styleId="Tablebullet">
    <w:name w:val="Table bullet"/>
    <w:basedOn w:val="Normal"/>
    <w:qFormat/>
    <w:rsid w:val="00523DFA"/>
    <w:pPr>
      <w:numPr>
        <w:numId w:val="8"/>
      </w:numPr>
      <w:spacing w:before="0" w:after="60" w:line="240" w:lineRule="atLeast"/>
      <w:jc w:val="left"/>
    </w:pPr>
    <w:rPr>
      <w:rFonts w:cs="Arial"/>
      <w:sz w:val="18"/>
      <w:szCs w:val="16"/>
    </w:rPr>
  </w:style>
  <w:style w:type="paragraph" w:customStyle="1" w:styleId="Tabledash">
    <w:name w:val="Table dash"/>
    <w:basedOn w:val="Tablebullet"/>
    <w:qFormat/>
    <w:rsid w:val="005E3BCD"/>
    <w:pPr>
      <w:numPr>
        <w:numId w:val="9"/>
      </w:numPr>
      <w:ind w:left="568" w:hanging="284"/>
    </w:pPr>
  </w:style>
  <w:style w:type="paragraph" w:styleId="ListParagraph">
    <w:name w:val="List Paragraph"/>
    <w:basedOn w:val="Normal"/>
    <w:uiPriority w:val="34"/>
    <w:semiHidden/>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basedOn w:val="DefaultParagraphFont"/>
    <w:link w:val="CommentSubject"/>
    <w:uiPriority w:val="99"/>
    <w:semiHidden/>
    <w:rsid w:val="00AB54D7"/>
    <w:rPr>
      <w:rFonts w:ascii="Calibri" w:eastAsiaTheme="minorEastAsia"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basedOn w:val="DefaultParagraphFont"/>
    <w:link w:val="BalloonText"/>
    <w:semiHidden/>
    <w:rsid w:val="00EA64B4"/>
    <w:rPr>
      <w:rFonts w:ascii="Tahoma" w:eastAsiaTheme="minorEastAsia"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basedOn w:val="DefaultParagraphFont"/>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basedOn w:val="DefaultParagraphFont"/>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pPr>
      <w:spacing w:after="0" w:line="240" w:lineRule="auto"/>
    </w:pPr>
    <w:tblPr>
      <w:tblStyleRowBandSize w:val="1"/>
      <w:tblStyleColBandSize w:val="1"/>
      <w:tbl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single" w:sz="8" w:space="0" w:color="64A04A" w:themeColor="accent2" w:themeTint="BF"/>
      </w:tblBorders>
    </w:tblPr>
    <w:tblStylePr w:type="firstRow">
      <w:pPr>
        <w:spacing w:before="0" w:after="0" w:line="240" w:lineRule="auto"/>
      </w:pPr>
      <w:rPr>
        <w:b/>
        <w:bCs/>
        <w:color w:val="FFFFFF" w:themeColor="background1"/>
      </w:rPr>
      <w:tblPr/>
      <w:tcPr>
        <w:tc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shd w:val="clear" w:color="auto" w:fill="3D612D" w:themeFill="accent2"/>
      </w:tcPr>
    </w:tblStylePr>
    <w:tblStylePr w:type="lastRow">
      <w:pPr>
        <w:spacing w:before="0" w:after="0" w:line="240" w:lineRule="auto"/>
      </w:pPr>
      <w:rPr>
        <w:b/>
        <w:bCs/>
      </w:rPr>
      <w:tblPr/>
      <w:tcPr>
        <w:tcBorders>
          <w:top w:val="double" w:sz="6"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BE2C0" w:themeFill="accent2" w:themeFillTint="3F"/>
      </w:tcPr>
    </w:tblStylePr>
    <w:tblStylePr w:type="band1Horz">
      <w:tblPr/>
      <w:tcPr>
        <w:tcBorders>
          <w:insideH w:val="nil"/>
          <w:insideV w:val="nil"/>
        </w:tcBorders>
        <w:shd w:val="clear" w:color="auto" w:fill="CBE2C0"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tblBorders>
    </w:tblPr>
    <w:tblStylePr w:type="firstRow">
      <w:pPr>
        <w:spacing w:before="0" w:after="0" w:line="240" w:lineRule="auto"/>
      </w:pPr>
      <w:rPr>
        <w:b/>
        <w:bCs/>
        <w:color w:val="FFFFFF" w:themeColor="background1"/>
      </w:rPr>
      <w:tblPr/>
      <w:tcPr>
        <w:shd w:val="clear" w:color="auto" w:fill="D8DFD5" w:themeFill="accent5"/>
      </w:tcPr>
    </w:tblStylePr>
    <w:tblStylePr w:type="lastRow">
      <w:pPr>
        <w:spacing w:before="0" w:after="0" w:line="240" w:lineRule="auto"/>
      </w:pPr>
      <w:rPr>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tcBorders>
      </w:tcPr>
    </w:tblStylePr>
    <w:tblStylePr w:type="firstCol">
      <w:rPr>
        <w:b/>
        <w:bCs/>
      </w:rPr>
    </w:tblStylePr>
    <w:tblStylePr w:type="lastCol">
      <w:rPr>
        <w:b/>
        <w:bCs/>
      </w:r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style>
  <w:style w:type="table" w:styleId="LightGrid-Accent5">
    <w:name w:val="Light Grid Accent 5"/>
    <w:basedOn w:val="TableNormal"/>
    <w:uiPriority w:val="62"/>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insideH w:val="single" w:sz="8" w:space="0" w:color="D8DFD5" w:themeColor="accent5"/>
        <w:insideV w:val="single" w:sz="8" w:space="0" w:color="D8DF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18" w:space="0" w:color="D8DFD5" w:themeColor="accent5"/>
          <w:right w:val="single" w:sz="8" w:space="0" w:color="D8DFD5" w:themeColor="accent5"/>
          <w:insideH w:val="nil"/>
          <w:insideV w:val="single" w:sz="8" w:space="0" w:color="D8DF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insideH w:val="nil"/>
          <w:insideV w:val="single" w:sz="8" w:space="0" w:color="D8DF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shd w:val="clear" w:color="auto" w:fill="F5F7F4" w:themeFill="accent5" w:themeFillTint="3F"/>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shd w:val="clear" w:color="auto" w:fill="F5F7F4" w:themeFill="accent5" w:themeFillTint="3F"/>
      </w:tcPr>
    </w:tblStylePr>
    <w:tblStylePr w:type="band2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tcPr>
    </w:tblStylePr>
  </w:style>
  <w:style w:type="table" w:customStyle="1" w:styleId="LightGrid-Accent11">
    <w:name w:val="Light Grid - Accent 11"/>
    <w:basedOn w:val="TableNormal"/>
    <w:uiPriority w:val="62"/>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insideH w:val="single" w:sz="8" w:space="0" w:color="0D2C6C" w:themeColor="accent1"/>
        <w:insideV w:val="single" w:sz="8" w:space="0" w:color="0D2C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18" w:space="0" w:color="0D2C6C" w:themeColor="accent1"/>
          <w:right w:val="single" w:sz="8" w:space="0" w:color="0D2C6C" w:themeColor="accent1"/>
          <w:insideH w:val="nil"/>
          <w:insideV w:val="single" w:sz="8" w:space="0" w:color="0D2C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insideH w:val="nil"/>
          <w:insideV w:val="single" w:sz="8" w:space="0" w:color="0D2C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shd w:val="clear" w:color="auto" w:fill="A9C1F4" w:themeFill="accent1" w:themeFillTint="3F"/>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shd w:val="clear" w:color="auto" w:fill="A9C1F4" w:themeFill="accent1" w:themeFillTint="3F"/>
      </w:tcPr>
    </w:tblStylePr>
    <w:tblStylePr w:type="band2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tcPr>
    </w:tblStylePr>
  </w:style>
  <w:style w:type="table" w:customStyle="1" w:styleId="LightShading-Accent11">
    <w:name w:val="Light Shading - Accent 11"/>
    <w:basedOn w:val="TableNormal"/>
    <w:uiPriority w:val="60"/>
    <w:rsid w:val="00EA64B4"/>
    <w:pPr>
      <w:spacing w:after="0" w:line="240" w:lineRule="auto"/>
    </w:pPr>
    <w:rPr>
      <w:color w:val="092050" w:themeColor="accent1" w:themeShade="BF"/>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customStyle="1" w:styleId="LightList-Accent11">
    <w:name w:val="Light List - Accent 11"/>
    <w:basedOn w:val="TableNormal"/>
    <w:uiPriority w:val="61"/>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tblBorders>
    </w:tblPr>
    <w:tblStylePr w:type="firstRow">
      <w:pPr>
        <w:spacing w:before="0" w:after="0" w:line="240" w:lineRule="auto"/>
      </w:pPr>
      <w:rPr>
        <w:b/>
        <w:bCs/>
        <w:color w:val="FFFFFF" w:themeColor="background1"/>
      </w:rPr>
      <w:tblPr/>
      <w:tcPr>
        <w:shd w:val="clear" w:color="auto" w:fill="0D2C6C" w:themeFill="accent1"/>
      </w:tcPr>
    </w:tblStylePr>
    <w:tblStylePr w:type="lastRow">
      <w:pPr>
        <w:spacing w:before="0" w:after="0" w:line="240" w:lineRule="auto"/>
      </w:pPr>
      <w:rPr>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tcBorders>
      </w:tcPr>
    </w:tblStylePr>
    <w:tblStylePr w:type="firstCol">
      <w:rPr>
        <w:b/>
        <w:bCs/>
      </w:rPr>
    </w:tblStylePr>
    <w:tblStylePr w:type="lastCol">
      <w:rPr>
        <w:b/>
        <w:bCs/>
      </w:r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style>
  <w:style w:type="character" w:styleId="CommentReference">
    <w:name w:val="annotation reference"/>
    <w:basedOn w:val="DefaultParagraphFont"/>
    <w:uiPriority w:val="99"/>
    <w:semiHidden/>
    <w:rsid w:val="00EA64B4"/>
    <w:rPr>
      <w:sz w:val="16"/>
      <w:szCs w:val="16"/>
    </w:rPr>
  </w:style>
  <w:style w:type="paragraph" w:styleId="Revision">
    <w:name w:val="Revision"/>
    <w:hidden/>
    <w:uiPriority w:val="99"/>
    <w:semiHidden/>
    <w:rsid w:val="0080531E"/>
    <w:pPr>
      <w:spacing w:after="0" w:line="240" w:lineRule="auto"/>
    </w:pPr>
    <w:rPr>
      <w:rFonts w:ascii="Times New Roman" w:eastAsia="Times New Roman" w:hAnsi="Times New Roman" w:cs="Times New Roman"/>
      <w:szCs w:val="20"/>
    </w:rPr>
  </w:style>
  <w:style w:type="character" w:styleId="Strong">
    <w:name w:val="Strong"/>
    <w:basedOn w:val="DefaultParagraphFont"/>
    <w:uiPriority w:val="22"/>
    <w:qFormat/>
    <w:rsid w:val="00EA64B4"/>
    <w:rPr>
      <w:b/>
      <w:bCs/>
    </w:rPr>
  </w:style>
  <w:style w:type="character" w:styleId="EndnoteReference">
    <w:name w:val="endnote reference"/>
    <w:basedOn w:val="DefaultParagraphFont"/>
    <w:uiPriority w:val="99"/>
    <w:semiHidden/>
    <w:unhideWhenUsed/>
    <w:rsid w:val="00EA64B4"/>
    <w:rPr>
      <w:vertAlign w:val="superscript"/>
    </w:rPr>
  </w:style>
  <w:style w:type="character" w:styleId="FollowedHyperlink">
    <w:name w:val="FollowedHyperlink"/>
    <w:basedOn w:val="DefaultParagraphFont"/>
    <w:uiPriority w:val="99"/>
    <w:semiHidden/>
    <w:rsid w:val="001B6D2F"/>
    <w:rPr>
      <w:color w:val="652F8F"/>
      <w:u w:val="none"/>
    </w:rPr>
  </w:style>
  <w:style w:type="character" w:customStyle="1" w:styleId="Heading6Char">
    <w:name w:val="Heading 6 Char"/>
    <w:basedOn w:val="DefaultParagraphFont"/>
    <w:link w:val="Heading6"/>
    <w:semiHidden/>
    <w:rsid w:val="00EA64B4"/>
    <w:rPr>
      <w:rFonts w:ascii="Times New Roman" w:eastAsia="Times New Roman" w:hAnsi="Times New Roman" w:cs="Times New Roman"/>
      <w:b/>
      <w:szCs w:val="20"/>
      <w:lang w:val="en-AU"/>
    </w:rPr>
  </w:style>
  <w:style w:type="character" w:customStyle="1" w:styleId="Heading7Char">
    <w:name w:val="Heading 7 Char"/>
    <w:basedOn w:val="DefaultParagraphFont"/>
    <w:link w:val="Heading7"/>
    <w:semiHidden/>
    <w:rsid w:val="00EA64B4"/>
    <w:rPr>
      <w:rFonts w:ascii="Times New Roman" w:eastAsia="Times New Roman" w:hAnsi="Times New Roman" w:cs="Times New Roman"/>
      <w:szCs w:val="20"/>
      <w:lang w:val="en-AU"/>
    </w:rPr>
  </w:style>
  <w:style w:type="character" w:customStyle="1" w:styleId="Heading8Char">
    <w:name w:val="Heading 8 Char"/>
    <w:basedOn w:val="DefaultParagraphFont"/>
    <w:link w:val="Heading8"/>
    <w:semiHidden/>
    <w:rsid w:val="00EA64B4"/>
    <w:rPr>
      <w:rFonts w:ascii="Times New Roman" w:eastAsia="Times New Roman" w:hAnsi="Times New Roman" w:cs="Times New Roman"/>
      <w:i/>
      <w:szCs w:val="20"/>
      <w:lang w:val="en-AU"/>
    </w:rPr>
  </w:style>
  <w:style w:type="character" w:customStyle="1" w:styleId="Heading9Char">
    <w:name w:val="Heading 9 Char"/>
    <w:basedOn w:val="DefaultParagraphFont"/>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semiHidden/>
    <w:rsid w:val="00EA64B4"/>
    <w:pPr>
      <w:tabs>
        <w:tab w:val="right" w:pos="8505"/>
      </w:tabs>
      <w:spacing w:before="180" w:after="0" w:line="240" w:lineRule="auto"/>
      <w:ind w:left="1134" w:right="567" w:hanging="1134"/>
      <w:jc w:val="left"/>
    </w:pPr>
    <w:rPr>
      <w:rFonts w:ascii="Arial" w:eastAsia="Times New Roman" w:hAnsi="Arial" w:cs="Times New Roman"/>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eastAsia="Times New Roman" w:hAnsi="Times New Roman" w:cs="Times New Roman"/>
      <w:b/>
      <w:bCs/>
      <w:color w:val="0D2C6C" w:themeColor="accent1"/>
      <w:sz w:val="18"/>
      <w:szCs w:val="18"/>
      <w:lang w:eastAsia="en-US"/>
    </w:rPr>
  </w:style>
  <w:style w:type="character" w:customStyle="1" w:styleId="BulletChar">
    <w:name w:val="Bullet Char"/>
    <w:basedOn w:val="DefaultParagraphFont"/>
    <w:link w:val="Bullet"/>
    <w:locked/>
    <w:rsid w:val="000A109B"/>
    <w:rPr>
      <w:rFonts w:ascii="Calibri" w:eastAsia="Times New Roman" w:hAnsi="Calibri" w:cs="Times New Roman"/>
      <w:szCs w:val="20"/>
      <w:lang w:eastAsia="en-NZ"/>
    </w:rPr>
  </w:style>
  <w:style w:type="table" w:styleId="LightShading-Accent1">
    <w:name w:val="Light Shading Accent 1"/>
    <w:basedOn w:val="TableNormal"/>
    <w:uiPriority w:val="60"/>
    <w:rsid w:val="00E05569"/>
    <w:pPr>
      <w:spacing w:after="0" w:line="240" w:lineRule="auto"/>
    </w:pPr>
    <w:rPr>
      <w:rFonts w:eastAsiaTheme="minorEastAsia"/>
      <w:color w:val="092050" w:themeColor="accent1" w:themeShade="BF"/>
      <w:lang w:val="en-US"/>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styleId="LightList-Accent3">
    <w:name w:val="Light List Accent 3"/>
    <w:basedOn w:val="TableNormal"/>
    <w:uiPriority w:val="61"/>
    <w:rsid w:val="00416330"/>
    <w:pPr>
      <w:spacing w:after="0" w:line="240" w:lineRule="auto"/>
    </w:pPr>
    <w:rPr>
      <w:rFonts w:eastAsiaTheme="minorEastAsia"/>
      <w:lang w:val="en-US"/>
    </w:rPr>
    <w:tblPr>
      <w:tblStyleRowBandSize w:val="1"/>
      <w:tblStyleColBandSize w:val="1"/>
      <w:tblBorders>
        <w:top w:val="single" w:sz="8" w:space="0" w:color="652F8F" w:themeColor="accent3"/>
        <w:left w:val="single" w:sz="8" w:space="0" w:color="652F8F" w:themeColor="accent3"/>
        <w:bottom w:val="single" w:sz="8" w:space="0" w:color="652F8F" w:themeColor="accent3"/>
        <w:right w:val="single" w:sz="8" w:space="0" w:color="652F8F" w:themeColor="accent3"/>
      </w:tblBorders>
    </w:tblPr>
    <w:tblStylePr w:type="firstRow">
      <w:pPr>
        <w:spacing w:before="0" w:after="0" w:line="240" w:lineRule="auto"/>
      </w:pPr>
      <w:rPr>
        <w:b/>
        <w:bCs/>
        <w:color w:val="FFFFFF" w:themeColor="background1"/>
      </w:rPr>
      <w:tblPr/>
      <w:tcPr>
        <w:shd w:val="clear" w:color="auto" w:fill="652F8F" w:themeFill="accent3"/>
      </w:tcPr>
    </w:tblStylePr>
    <w:tblStylePr w:type="lastRow">
      <w:pPr>
        <w:spacing w:before="0" w:after="0" w:line="240" w:lineRule="auto"/>
      </w:pPr>
      <w:rPr>
        <w:b/>
        <w:bCs/>
      </w:rPr>
      <w:tblPr/>
      <w:tcPr>
        <w:tcBorders>
          <w:top w:val="double" w:sz="6" w:space="0" w:color="652F8F" w:themeColor="accent3"/>
          <w:left w:val="single" w:sz="8" w:space="0" w:color="652F8F" w:themeColor="accent3"/>
          <w:bottom w:val="single" w:sz="8" w:space="0" w:color="652F8F" w:themeColor="accent3"/>
          <w:right w:val="single" w:sz="8" w:space="0" w:color="652F8F" w:themeColor="accent3"/>
        </w:tcBorders>
      </w:tcPr>
    </w:tblStylePr>
    <w:tblStylePr w:type="firstCol">
      <w:rPr>
        <w:b/>
        <w:bCs/>
      </w:rPr>
    </w:tblStylePr>
    <w:tblStylePr w:type="lastCol">
      <w:rPr>
        <w:b/>
        <w:bCs/>
      </w:rPr>
    </w:tblStylePr>
    <w:tblStylePr w:type="band1Vert">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tblStylePr w:type="band1Horz">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style>
  <w:style w:type="numbering" w:customStyle="1" w:styleId="Style2">
    <w:name w:val="Style2"/>
    <w:uiPriority w:val="99"/>
    <w:rsid w:val="008E0688"/>
    <w:pPr>
      <w:numPr>
        <w:numId w:val="19"/>
      </w:numPr>
    </w:pPr>
  </w:style>
  <w:style w:type="numbering" w:customStyle="1" w:styleId="Style3">
    <w:name w:val="Style3"/>
    <w:uiPriority w:val="99"/>
    <w:rsid w:val="008B5A2D"/>
    <w:pPr>
      <w:numPr>
        <w:numId w:val="33"/>
      </w:numPr>
    </w:pPr>
  </w:style>
  <w:style w:type="paragraph" w:customStyle="1" w:styleId="Boxtext">
    <w:name w:val="Box text"/>
    <w:basedOn w:val="Normal"/>
    <w:uiPriority w:val="1"/>
    <w:qFormat/>
    <w:rsid w:val="00535D28"/>
    <w:pPr>
      <w:spacing w:line="260" w:lineRule="atLeast"/>
      <w:ind w:left="284" w:right="284"/>
      <w:jc w:val="left"/>
    </w:pPr>
    <w:rPr>
      <w:color w:val="005B73"/>
      <w:sz w:val="20"/>
    </w:rPr>
  </w:style>
  <w:style w:type="paragraph" w:customStyle="1" w:styleId="Boxbullet">
    <w:name w:val="Box bullet"/>
    <w:basedOn w:val="Boxtext"/>
    <w:uiPriority w:val="1"/>
    <w:qFormat/>
    <w:rsid w:val="00535D28"/>
    <w:pPr>
      <w:numPr>
        <w:numId w:val="2"/>
      </w:numPr>
      <w:tabs>
        <w:tab w:val="left" w:pos="680"/>
      </w:tabs>
      <w:spacing w:before="0"/>
      <w:ind w:left="681" w:hanging="397"/>
    </w:pPr>
    <w:rPr>
      <w:rFonts w:cs="Times New Roman"/>
      <w:szCs w:val="20"/>
    </w:rPr>
  </w:style>
  <w:style w:type="paragraph" w:customStyle="1" w:styleId="Boxheading">
    <w:name w:val="Box heading"/>
    <w:basedOn w:val="Boxtext"/>
    <w:next w:val="Boxtext"/>
    <w:uiPriority w:val="1"/>
    <w:qFormat/>
    <w:rsid w:val="00535D28"/>
    <w:pPr>
      <w:keepNext/>
      <w:spacing w:before="240" w:after="0"/>
    </w:pPr>
    <w:rPr>
      <w:rFonts w:cs="Times New Roman"/>
      <w:b/>
      <w:sz w:val="22"/>
      <w:szCs w:val="20"/>
    </w:rPr>
  </w:style>
  <w:style w:type="paragraph" w:customStyle="1" w:styleId="Boxsub-bullet">
    <w:name w:val="Box sub-bullet"/>
    <w:basedOn w:val="Boxtext"/>
    <w:uiPriority w:val="1"/>
    <w:qFormat/>
    <w:rsid w:val="00535D28"/>
    <w:pPr>
      <w:numPr>
        <w:numId w:val="36"/>
      </w:numPr>
      <w:spacing w:before="0"/>
    </w:pPr>
    <w:rPr>
      <w:rFonts w:cs="Times New Roman"/>
      <w:szCs w:val="20"/>
    </w:rPr>
  </w:style>
  <w:style w:type="character" w:styleId="UnresolvedMention">
    <w:name w:val="Unresolved Mention"/>
    <w:basedOn w:val="DefaultParagraphFont"/>
    <w:uiPriority w:val="99"/>
    <w:unhideWhenUsed/>
    <w:rsid w:val="00563317"/>
    <w:rPr>
      <w:color w:val="605E5C"/>
      <w:shd w:val="clear" w:color="auto" w:fill="E1DFDD"/>
    </w:rPr>
  </w:style>
  <w:style w:type="paragraph" w:styleId="CommentText">
    <w:name w:val="annotation text"/>
    <w:basedOn w:val="Normal"/>
    <w:link w:val="CommentTextChar"/>
    <w:uiPriority w:val="99"/>
    <w:semiHidden/>
    <w:rsid w:val="00456E90"/>
    <w:pPr>
      <w:spacing w:line="240" w:lineRule="auto"/>
    </w:pPr>
    <w:rPr>
      <w:sz w:val="20"/>
      <w:szCs w:val="20"/>
    </w:rPr>
  </w:style>
  <w:style w:type="character" w:customStyle="1" w:styleId="CommentTextChar">
    <w:name w:val="Comment Text Char"/>
    <w:basedOn w:val="DefaultParagraphFont"/>
    <w:link w:val="CommentText"/>
    <w:uiPriority w:val="99"/>
    <w:semiHidden/>
    <w:rsid w:val="00456E90"/>
    <w:rPr>
      <w:rFonts w:ascii="Calibri" w:eastAsiaTheme="minorEastAsia" w:hAnsi="Calibri"/>
      <w:sz w:val="20"/>
      <w:szCs w:val="20"/>
      <w:lang w:eastAsia="en-NZ"/>
    </w:rPr>
  </w:style>
  <w:style w:type="paragraph" w:customStyle="1" w:styleId="Sub-listi">
    <w:name w:val="Sub-list i"/>
    <w:aliases w:val="ii"/>
    <w:basedOn w:val="BodyText"/>
    <w:uiPriority w:val="1"/>
    <w:rsid w:val="00D51D48"/>
    <w:pPr>
      <w:tabs>
        <w:tab w:val="num" w:pos="794"/>
      </w:tabs>
      <w:spacing w:before="60" w:after="60"/>
      <w:ind w:left="794" w:hanging="397"/>
    </w:pPr>
  </w:style>
  <w:style w:type="table" w:customStyle="1" w:styleId="TableGrid1">
    <w:name w:val="Table Grid1"/>
    <w:basedOn w:val="TableNormal"/>
    <w:next w:val="TableGrid"/>
    <w:uiPriority w:val="39"/>
    <w:rsid w:val="00AB4142"/>
    <w:pPr>
      <w:widowControl w:val="0"/>
      <w:autoSpaceDE w:val="0"/>
      <w:autoSpaceDN w:val="0"/>
      <w:spacing w:after="0" w:line="240" w:lineRule="auto"/>
    </w:pPr>
    <w:tblPr/>
  </w:style>
  <w:style w:type="paragraph" w:customStyle="1" w:styleId="HUDheader3">
    <w:name w:val="HUD header 3"/>
    <w:basedOn w:val="Normal"/>
    <w:link w:val="HUDheader3Char"/>
    <w:rsid w:val="00DA1F19"/>
    <w:pPr>
      <w:widowControl w:val="0"/>
      <w:autoSpaceDE w:val="0"/>
      <w:autoSpaceDN w:val="0"/>
      <w:spacing w:after="0" w:line="240" w:lineRule="auto"/>
      <w:jc w:val="left"/>
      <w:outlineLvl w:val="2"/>
    </w:pPr>
    <w:rPr>
      <w:rFonts w:ascii="Arial" w:eastAsia="Arial" w:hAnsi="Arial" w:cs="Angsana New"/>
      <w:b/>
      <w:color w:val="003E52"/>
      <w:sz w:val="28"/>
      <w:szCs w:val="36"/>
      <w:lang w:eastAsia="en-US"/>
    </w:rPr>
  </w:style>
  <w:style w:type="character" w:customStyle="1" w:styleId="HUDheader3Char">
    <w:name w:val="HUD header 3 Char"/>
    <w:basedOn w:val="DefaultParagraphFont"/>
    <w:link w:val="HUDheader3"/>
    <w:rsid w:val="00DA1F19"/>
    <w:rPr>
      <w:rFonts w:ascii="Arial" w:eastAsia="Arial" w:hAnsi="Arial" w:cs="Angsana New"/>
      <w:b/>
      <w:color w:val="003E52"/>
      <w:sz w:val="28"/>
      <w:szCs w:val="36"/>
    </w:rPr>
  </w:style>
  <w:style w:type="paragraph" w:styleId="NormalWeb">
    <w:name w:val="Normal (Web)"/>
    <w:basedOn w:val="Normal"/>
    <w:uiPriority w:val="99"/>
    <w:unhideWhenUsed/>
    <w:rsid w:val="008802F6"/>
    <w:pPr>
      <w:widowControl w:val="0"/>
      <w:autoSpaceDE w:val="0"/>
      <w:autoSpaceDN w:val="0"/>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HMUheader1">
    <w:name w:val="HMU header 1"/>
    <w:basedOn w:val="Heading1"/>
    <w:link w:val="HMUheader1Char"/>
    <w:qFormat/>
    <w:rsid w:val="00FA1F32"/>
    <w:pPr>
      <w:keepNext w:val="0"/>
      <w:tabs>
        <w:tab w:val="clear" w:pos="851"/>
      </w:tabs>
      <w:spacing w:after="160" w:line="259" w:lineRule="auto"/>
    </w:pPr>
    <w:rPr>
      <w:rFonts w:ascii="Arial" w:eastAsia="Arial" w:hAnsi="Arial" w:cs="Angsana New"/>
      <w:bCs w:val="0"/>
      <w:color w:val="003E52"/>
      <w:sz w:val="36"/>
      <w:szCs w:val="36"/>
      <w:lang w:eastAsia="en-US"/>
    </w:rPr>
  </w:style>
  <w:style w:type="character" w:customStyle="1" w:styleId="HMUheader1Char">
    <w:name w:val="HMU header 1 Char"/>
    <w:basedOn w:val="DefaultParagraphFont"/>
    <w:link w:val="HMUheader1"/>
    <w:rsid w:val="00FA1F32"/>
    <w:rPr>
      <w:rFonts w:ascii="Arial" w:eastAsia="Arial" w:hAnsi="Arial" w:cs="Angsana New"/>
      <w:b/>
      <w:color w:val="003E52"/>
      <w:sz w:val="36"/>
      <w:szCs w:val="36"/>
    </w:rPr>
  </w:style>
  <w:style w:type="character" w:styleId="Mention">
    <w:name w:val="Mention"/>
    <w:basedOn w:val="DefaultParagraphFont"/>
    <w:uiPriority w:val="99"/>
    <w:unhideWhenUsed/>
    <w:rsid w:val="009F08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footer" Target="footer5.xm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8.png"/><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png"/><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abs.gov.au/statistics/understanding-statistics/statistical-terms-and-concepts/statistical-terms-and-concepts-glossary"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0.png"/><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20" Type="http://schemas.openxmlformats.org/officeDocument/2006/relationships/footer" Target="footer4.xml"/><Relationship Id="rId41" Type="http://schemas.openxmlformats.org/officeDocument/2006/relationships/image" Target="media/image20.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s>
</file>

<file path=word/_rels/footnotes.xml.rels><?xml version="1.0" encoding="UTF-8" standalone="yes"?>
<Relationships xmlns="http://schemas.openxmlformats.org/package/2006/relationships"><Relationship Id="rId8" Type="http://schemas.openxmlformats.org/officeDocument/2006/relationships/hyperlink" Target="https://www.stats.govt.nz/information-releases/selected-price-indexes-june-2026/" TargetMode="External"/><Relationship Id="rId13" Type="http://schemas.openxmlformats.org/officeDocument/2006/relationships/hyperlink" Target="https://www.rbnz.govt.nz/statistics/series/lending-and-monetary/new-residential-mortgage-lending-by-borrower-type" TargetMode="External"/><Relationship Id="rId3" Type="http://schemas.openxmlformats.org/officeDocument/2006/relationships/hyperlink" Target="https://www.stats.govt.nz/information-releases/international-migration-may-2026/" TargetMode="External"/><Relationship Id="rId7" Type="http://schemas.openxmlformats.org/officeDocument/2006/relationships/hyperlink" Target="https://www.stats.govt.nz/reports/economic-impacts-on-new-zealand-from-conflict-in-the-middle-east/" TargetMode="External"/><Relationship Id="rId12" Type="http://schemas.openxmlformats.org/officeDocument/2006/relationships/hyperlink" Target="https://www.rbnz.govt.nz/financial-stability/financial-stability-indicators" TargetMode="External"/><Relationship Id="rId2" Type="http://schemas.openxmlformats.org/officeDocument/2006/relationships/hyperlink" Target="https://www.stats.govt.nz/information-releases/labour-market-statistics-march-2026-quarter/" TargetMode="External"/><Relationship Id="rId16" Type="http://schemas.openxmlformats.org/officeDocument/2006/relationships/hyperlink" Target="https://www.stats.govt.nz/indicators/consumers-price-index-cpi/" TargetMode="External"/><Relationship Id="rId1" Type="http://schemas.openxmlformats.org/officeDocument/2006/relationships/hyperlink" Target="https://www.stats.govt.nz/information-releases/gross-domestic-product-march-2026-quarter/" TargetMode="External"/><Relationship Id="rId6" Type="http://schemas.openxmlformats.org/officeDocument/2006/relationships/hyperlink" Target="https://www.anz.co.nz/about-us/economic-markets-research/business-outlook/" TargetMode="External"/><Relationship Id="rId11" Type="http://schemas.openxmlformats.org/officeDocument/2006/relationships/hyperlink" Target="https://www.realestate.co.nz/news/property-market-news/the-new-zealand-property-report/new-zealand-property-market-2026-june" TargetMode="External"/><Relationship Id="rId5" Type="http://schemas.openxmlformats.org/officeDocument/2006/relationships/hyperlink" Target="https://www.rbnz.govt.nz/news-and-events/news/2026/07/ocr-increased-to-2-50-to-return-inflation-to-2-percent" TargetMode="External"/><Relationship Id="rId15" Type="http://schemas.openxmlformats.org/officeDocument/2006/relationships/hyperlink" Target="https://www.stats.govt.nz/information-releases/value-of-building-work-put-in-place-march-2026-quarter/" TargetMode="External"/><Relationship Id="rId10" Type="http://schemas.openxmlformats.org/officeDocument/2006/relationships/hyperlink" Target="https://www.reinz.co.nz/libraryviewer?ResourceID=838" TargetMode="External"/><Relationship Id="rId4" Type="http://schemas.openxmlformats.org/officeDocument/2006/relationships/hyperlink" Target="https://www.stats.govt.nz/indicators/consumers-price-index-cpi/" TargetMode="External"/><Relationship Id="rId9" Type="http://schemas.openxmlformats.org/officeDocument/2006/relationships/hyperlink" Target="https://www.hud.govt.nz/stats-and-insights/change-in-housing-affordability-indicators/affordability-indicators" TargetMode="External"/><Relationship Id="rId14" Type="http://schemas.openxmlformats.org/officeDocument/2006/relationships/hyperlink" Target="https://www.stats.govt.nz/information-releases/building-consents-issued-may-2026/" TargetMode="External"/></Relationships>
</file>

<file path=word/theme/theme1.xml><?xml version="1.0" encoding="utf-8"?>
<a:theme xmlns:a="http://schemas.openxmlformats.org/drawingml/2006/main" name="MF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5B607ACD773D4EB5E84443122CB37F" ma:contentTypeVersion="22" ma:contentTypeDescription="Create a new document." ma:contentTypeScope="" ma:versionID="f5e99e16708c2bb5bf01a0736c1f20ae">
  <xsd:schema xmlns:xsd="http://www.w3.org/2001/XMLSchema" xmlns:xs="http://www.w3.org/2001/XMLSchema" xmlns:p="http://schemas.microsoft.com/office/2006/metadata/properties" xmlns:ns2="73ca0a6f-7b09-4afd-9907-63092b5f1a58" xmlns:ns3="1ed50118-65ac-419c-ba11-7335d912dad1" targetNamespace="http://schemas.microsoft.com/office/2006/metadata/properties" ma:root="true" ma:fieldsID="0238c1093ebdece701e54a6b79f9e0dd" ns2:_="" ns3:_="">
    <xsd:import namespace="73ca0a6f-7b09-4afd-9907-63092b5f1a58"/>
    <xsd:import namespace="1ed50118-65ac-419c-ba11-7335d912da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Location" minOccurs="0"/>
                <xsd:element ref="ns3:Authoritative_x0020_Data"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a0a6f-7b09-4afd-9907-63092b5f1a5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e263de34-72bd-42bb-987d-26b792ca997f}" ma:internalName="TaxCatchAll" ma:showField="CatchAllData" ma:web="73ca0a6f-7b09-4afd-9907-63092b5f1a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d50118-65ac-419c-ba11-7335d912da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Authoritative_x0020_Data" ma:index="23" nillable="true" ma:displayName="Authoritative Data" ma:format="Dropdown" ma:indexed="true" ma:internalName="Authoritative_x0020_Data">
      <xsd:simpleType>
        <xsd:restriction base="dms:Choice">
          <xsd:enumeration value="Yes"/>
          <xsd:enumeration value="No"/>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37c7ead-e707-47a7-9154-f9bc55a40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73ca0a6f-7b09-4afd-9907-63092b5f1a58">PYTPEHA36MWV-1399632152-139445</_dlc_DocId>
    <_dlc_DocIdUrl xmlns="73ca0a6f-7b09-4afd-9907-63092b5f1a58">
      <Url>https://mhud.sharepoint.com/sites/insights/_layouts/15/DocIdRedir.aspx?ID=PYTPEHA36MWV-1399632152-139445</Url>
      <Description>PYTPEHA36MWV-1399632152-139445</Description>
    </_dlc_DocIdUrl>
    <lcf76f155ced4ddcb4097134ff3c332f xmlns="1ed50118-65ac-419c-ba11-7335d912dad1">
      <Terms xmlns="http://schemas.microsoft.com/office/infopath/2007/PartnerControls"/>
    </lcf76f155ced4ddcb4097134ff3c332f>
    <TaxCatchAll xmlns="73ca0a6f-7b09-4afd-9907-63092b5f1a58" xsi:nil="true"/>
    <Authoritative_x0020_Data xmlns="1ed50118-65ac-419c-ba11-7335d912dad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272B2B-1607-42A4-BEA2-7ED234FDC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a0a6f-7b09-4afd-9907-63092b5f1a58"/>
    <ds:schemaRef ds:uri="1ed50118-65ac-419c-ba11-7335d912d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15373F-630C-45C1-9D1D-0033FB98D60B}">
  <ds:schemaRefs>
    <ds:schemaRef ds:uri="http://schemas.microsoft.com/sharepoint/events"/>
  </ds:schemaRefs>
</ds:datastoreItem>
</file>

<file path=customXml/itemProps3.xml><?xml version="1.0" encoding="utf-8"?>
<ds:datastoreItem xmlns:ds="http://schemas.openxmlformats.org/officeDocument/2006/customXml" ds:itemID="{A6ABE385-CC81-41C6-A3F2-1BC9449571F7}">
  <ds:schemaRefs>
    <ds:schemaRef ds:uri="http://schemas.microsoft.com/office/2006/metadata/properties"/>
    <ds:schemaRef ds:uri="http://schemas.microsoft.com/office/infopath/2007/PartnerControls"/>
    <ds:schemaRef ds:uri="73ca0a6f-7b09-4afd-9907-63092b5f1a58"/>
    <ds:schemaRef ds:uri="1ed50118-65ac-419c-ba11-7335d912dad1"/>
  </ds:schemaRefs>
</ds:datastoreItem>
</file>

<file path=customXml/itemProps4.xml><?xml version="1.0" encoding="utf-8"?>
<ds:datastoreItem xmlns:ds="http://schemas.openxmlformats.org/officeDocument/2006/customXml" ds:itemID="{4D0CDAC4-0417-4665-BFBD-38D6177B7AAE}">
  <ds:schemaRefs>
    <ds:schemaRef ds:uri="http://schemas.microsoft.com/sharepoint/v3/contenttype/forms"/>
  </ds:schemaRefs>
</ds:datastoreItem>
</file>

<file path=customXml/itemProps5.xml><?xml version="1.0" encoding="utf-8"?>
<ds:datastoreItem xmlns:ds="http://schemas.openxmlformats.org/officeDocument/2006/customXml" ds:itemID="{D27907E1-733D-40A2-9501-D22B1B74D9CB}">
  <ds:schemaRefs>
    <ds:schemaRef ds:uri="http://schemas.openxmlformats.org/officeDocument/2006/bibliography"/>
  </ds:schemaRefs>
</ds:datastoreItem>
</file>

<file path=docMetadata/LabelInfo.xml><?xml version="1.0" encoding="utf-8"?>
<clbl:labelList xmlns:clbl="http://schemas.microsoft.com/office/2020/mipLabelMetadata">
  <clbl:label id="{49120112-3b8d-44c1-bb35-0efb412dca25}" enabled="1" method="Privileged" siteId="{9e9b3020-3d38-48a6-9064-373bc7b156dc}" removed="0"/>
  <clbl:label id="{d1bdb5c6-e71b-4a4d-b135-1073d28955bb}" enabled="1" method="Privileged" siteId="{8763688f-b2d2-46f9-bc2c-cebbeeb58ec1}" removed="0"/>
</clbl:labelList>
</file>

<file path=docProps/app.xml><?xml version="1.0" encoding="utf-8"?>
<Properties xmlns="http://schemas.openxmlformats.org/officeDocument/2006/extended-properties" xmlns:vt="http://schemas.openxmlformats.org/officeDocument/2006/docPropsVTypes">
  <Template>Normal</Template>
  <TotalTime>13198</TotalTime>
  <Pages>22</Pages>
  <Words>3765</Words>
  <Characters>21615</Characters>
  <Application>Microsoft Office Word</Application>
  <DocSecurity>0</DocSecurity>
  <Lines>393</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25210</CharactersWithSpaces>
  <SharedDoc>false</SharedDoc>
  <HLinks>
    <vt:vector size="162" baseType="variant">
      <vt:variant>
        <vt:i4>5308496</vt:i4>
      </vt:variant>
      <vt:variant>
        <vt:i4>63</vt:i4>
      </vt:variant>
      <vt:variant>
        <vt:i4>0</vt:i4>
      </vt:variant>
      <vt:variant>
        <vt:i4>5</vt:i4>
      </vt:variant>
      <vt:variant>
        <vt:lpwstr>https://www.abs.gov.au/statistics/understanding-statistics/statistical-terms-and-concepts/statistical-terms-and-concepts-glossary</vt:lpwstr>
      </vt:variant>
      <vt:variant>
        <vt:lpwstr/>
      </vt:variant>
      <vt:variant>
        <vt:i4>1310782</vt:i4>
      </vt:variant>
      <vt:variant>
        <vt:i4>56</vt:i4>
      </vt:variant>
      <vt:variant>
        <vt:i4>0</vt:i4>
      </vt:variant>
      <vt:variant>
        <vt:i4>5</vt:i4>
      </vt:variant>
      <vt:variant>
        <vt:lpwstr/>
      </vt:variant>
      <vt:variant>
        <vt:lpwstr>_Toc235108994</vt:lpwstr>
      </vt:variant>
      <vt:variant>
        <vt:i4>1310782</vt:i4>
      </vt:variant>
      <vt:variant>
        <vt:i4>50</vt:i4>
      </vt:variant>
      <vt:variant>
        <vt:i4>0</vt:i4>
      </vt:variant>
      <vt:variant>
        <vt:i4>5</vt:i4>
      </vt:variant>
      <vt:variant>
        <vt:lpwstr/>
      </vt:variant>
      <vt:variant>
        <vt:lpwstr>_Toc235108993</vt:lpwstr>
      </vt:variant>
      <vt:variant>
        <vt:i4>1310782</vt:i4>
      </vt:variant>
      <vt:variant>
        <vt:i4>44</vt:i4>
      </vt:variant>
      <vt:variant>
        <vt:i4>0</vt:i4>
      </vt:variant>
      <vt:variant>
        <vt:i4>5</vt:i4>
      </vt:variant>
      <vt:variant>
        <vt:lpwstr/>
      </vt:variant>
      <vt:variant>
        <vt:lpwstr>_Toc235108992</vt:lpwstr>
      </vt:variant>
      <vt:variant>
        <vt:i4>1310782</vt:i4>
      </vt:variant>
      <vt:variant>
        <vt:i4>38</vt:i4>
      </vt:variant>
      <vt:variant>
        <vt:i4>0</vt:i4>
      </vt:variant>
      <vt:variant>
        <vt:i4>5</vt:i4>
      </vt:variant>
      <vt:variant>
        <vt:lpwstr/>
      </vt:variant>
      <vt:variant>
        <vt:lpwstr>_Toc235108991</vt:lpwstr>
      </vt:variant>
      <vt:variant>
        <vt:i4>1310782</vt:i4>
      </vt:variant>
      <vt:variant>
        <vt:i4>32</vt:i4>
      </vt:variant>
      <vt:variant>
        <vt:i4>0</vt:i4>
      </vt:variant>
      <vt:variant>
        <vt:i4>5</vt:i4>
      </vt:variant>
      <vt:variant>
        <vt:lpwstr/>
      </vt:variant>
      <vt:variant>
        <vt:lpwstr>_Toc235108990</vt:lpwstr>
      </vt:variant>
      <vt:variant>
        <vt:i4>1376318</vt:i4>
      </vt:variant>
      <vt:variant>
        <vt:i4>26</vt:i4>
      </vt:variant>
      <vt:variant>
        <vt:i4>0</vt:i4>
      </vt:variant>
      <vt:variant>
        <vt:i4>5</vt:i4>
      </vt:variant>
      <vt:variant>
        <vt:lpwstr/>
      </vt:variant>
      <vt:variant>
        <vt:lpwstr>_Toc235108987</vt:lpwstr>
      </vt:variant>
      <vt:variant>
        <vt:i4>1376318</vt:i4>
      </vt:variant>
      <vt:variant>
        <vt:i4>20</vt:i4>
      </vt:variant>
      <vt:variant>
        <vt:i4>0</vt:i4>
      </vt:variant>
      <vt:variant>
        <vt:i4>5</vt:i4>
      </vt:variant>
      <vt:variant>
        <vt:lpwstr/>
      </vt:variant>
      <vt:variant>
        <vt:lpwstr>_Toc235108984</vt:lpwstr>
      </vt:variant>
      <vt:variant>
        <vt:i4>1376318</vt:i4>
      </vt:variant>
      <vt:variant>
        <vt:i4>14</vt:i4>
      </vt:variant>
      <vt:variant>
        <vt:i4>0</vt:i4>
      </vt:variant>
      <vt:variant>
        <vt:i4>5</vt:i4>
      </vt:variant>
      <vt:variant>
        <vt:lpwstr/>
      </vt:variant>
      <vt:variant>
        <vt:lpwstr>_Toc235108981</vt:lpwstr>
      </vt:variant>
      <vt:variant>
        <vt:i4>1703998</vt:i4>
      </vt:variant>
      <vt:variant>
        <vt:i4>8</vt:i4>
      </vt:variant>
      <vt:variant>
        <vt:i4>0</vt:i4>
      </vt:variant>
      <vt:variant>
        <vt:i4>5</vt:i4>
      </vt:variant>
      <vt:variant>
        <vt:lpwstr/>
      </vt:variant>
      <vt:variant>
        <vt:lpwstr>_Toc235108978</vt:lpwstr>
      </vt:variant>
      <vt:variant>
        <vt:i4>1703998</vt:i4>
      </vt:variant>
      <vt:variant>
        <vt:i4>2</vt:i4>
      </vt:variant>
      <vt:variant>
        <vt:i4>0</vt:i4>
      </vt:variant>
      <vt:variant>
        <vt:i4>5</vt:i4>
      </vt:variant>
      <vt:variant>
        <vt:lpwstr/>
      </vt:variant>
      <vt:variant>
        <vt:lpwstr>_Toc235108977</vt:lpwstr>
      </vt:variant>
      <vt:variant>
        <vt:i4>2818151</vt:i4>
      </vt:variant>
      <vt:variant>
        <vt:i4>45</vt:i4>
      </vt:variant>
      <vt:variant>
        <vt:i4>0</vt:i4>
      </vt:variant>
      <vt:variant>
        <vt:i4>5</vt:i4>
      </vt:variant>
      <vt:variant>
        <vt:lpwstr>https://www.stats.govt.nz/indicators/consumers-price-index-cpi/</vt:lpwstr>
      </vt:variant>
      <vt:variant>
        <vt:lpwstr/>
      </vt:variant>
      <vt:variant>
        <vt:i4>3211360</vt:i4>
      </vt:variant>
      <vt:variant>
        <vt:i4>42</vt:i4>
      </vt:variant>
      <vt:variant>
        <vt:i4>0</vt:i4>
      </vt:variant>
      <vt:variant>
        <vt:i4>5</vt:i4>
      </vt:variant>
      <vt:variant>
        <vt:lpwstr>https://www.stats.govt.nz/information-releases/value-of-building-work-put-in-place-march-2026-quarter/</vt:lpwstr>
      </vt:variant>
      <vt:variant>
        <vt:lpwstr/>
      </vt:variant>
      <vt:variant>
        <vt:i4>5439514</vt:i4>
      </vt:variant>
      <vt:variant>
        <vt:i4>39</vt:i4>
      </vt:variant>
      <vt:variant>
        <vt:i4>0</vt:i4>
      </vt:variant>
      <vt:variant>
        <vt:i4>5</vt:i4>
      </vt:variant>
      <vt:variant>
        <vt:lpwstr>https://www.stats.govt.nz/information-releases/building-consents-issued-may-2026/</vt:lpwstr>
      </vt:variant>
      <vt:variant>
        <vt:lpwstr/>
      </vt:variant>
      <vt:variant>
        <vt:i4>5439561</vt:i4>
      </vt:variant>
      <vt:variant>
        <vt:i4>36</vt:i4>
      </vt:variant>
      <vt:variant>
        <vt:i4>0</vt:i4>
      </vt:variant>
      <vt:variant>
        <vt:i4>5</vt:i4>
      </vt:variant>
      <vt:variant>
        <vt:lpwstr>https://www.rbnz.govt.nz/statistics/series/lending-and-monetary/new-residential-mortgage-lending-by-borrower-type</vt:lpwstr>
      </vt:variant>
      <vt:variant>
        <vt:lpwstr/>
      </vt:variant>
      <vt:variant>
        <vt:i4>8192035</vt:i4>
      </vt:variant>
      <vt:variant>
        <vt:i4>33</vt:i4>
      </vt:variant>
      <vt:variant>
        <vt:i4>0</vt:i4>
      </vt:variant>
      <vt:variant>
        <vt:i4>5</vt:i4>
      </vt:variant>
      <vt:variant>
        <vt:lpwstr>https://www.rbnz.govt.nz/financial-stability/financial-stability-indicators</vt:lpwstr>
      </vt:variant>
      <vt:variant>
        <vt:lpwstr/>
      </vt:variant>
      <vt:variant>
        <vt:i4>5439492</vt:i4>
      </vt:variant>
      <vt:variant>
        <vt:i4>30</vt:i4>
      </vt:variant>
      <vt:variant>
        <vt:i4>0</vt:i4>
      </vt:variant>
      <vt:variant>
        <vt:i4>5</vt:i4>
      </vt:variant>
      <vt:variant>
        <vt:lpwstr>https://www.realestate.co.nz/news/property-market-news/the-new-zealand-property-report/new-zealand-property-market-2026-june</vt:lpwstr>
      </vt:variant>
      <vt:variant>
        <vt:lpwstr/>
      </vt:variant>
      <vt:variant>
        <vt:i4>1703964</vt:i4>
      </vt:variant>
      <vt:variant>
        <vt:i4>27</vt:i4>
      </vt:variant>
      <vt:variant>
        <vt:i4>0</vt:i4>
      </vt:variant>
      <vt:variant>
        <vt:i4>5</vt:i4>
      </vt:variant>
      <vt:variant>
        <vt:lpwstr>https://www.reinz.co.nz/libraryviewer?ResourceID=838</vt:lpwstr>
      </vt:variant>
      <vt:variant>
        <vt:lpwstr/>
      </vt:variant>
      <vt:variant>
        <vt:i4>6553718</vt:i4>
      </vt:variant>
      <vt:variant>
        <vt:i4>24</vt:i4>
      </vt:variant>
      <vt:variant>
        <vt:i4>0</vt:i4>
      </vt:variant>
      <vt:variant>
        <vt:i4>5</vt:i4>
      </vt:variant>
      <vt:variant>
        <vt:lpwstr>https://www.hud.govt.nz/stats-and-insights/change-in-housing-affordability-indicators/affordability-indicators</vt:lpwstr>
      </vt:variant>
      <vt:variant>
        <vt:lpwstr/>
      </vt:variant>
      <vt:variant>
        <vt:i4>1179663</vt:i4>
      </vt:variant>
      <vt:variant>
        <vt:i4>21</vt:i4>
      </vt:variant>
      <vt:variant>
        <vt:i4>0</vt:i4>
      </vt:variant>
      <vt:variant>
        <vt:i4>5</vt:i4>
      </vt:variant>
      <vt:variant>
        <vt:lpwstr>https://www.stats.govt.nz/information-releases/selected-price-indexes-june-2026/</vt:lpwstr>
      </vt:variant>
      <vt:variant>
        <vt:lpwstr/>
      </vt:variant>
      <vt:variant>
        <vt:i4>3473461</vt:i4>
      </vt:variant>
      <vt:variant>
        <vt:i4>18</vt:i4>
      </vt:variant>
      <vt:variant>
        <vt:i4>0</vt:i4>
      </vt:variant>
      <vt:variant>
        <vt:i4>5</vt:i4>
      </vt:variant>
      <vt:variant>
        <vt:lpwstr>https://www.stats.govt.nz/reports/economic-impacts-on-new-zealand-from-conflict-in-the-middle-east/</vt:lpwstr>
      </vt:variant>
      <vt:variant>
        <vt:lpwstr/>
      </vt:variant>
      <vt:variant>
        <vt:i4>8323199</vt:i4>
      </vt:variant>
      <vt:variant>
        <vt:i4>15</vt:i4>
      </vt:variant>
      <vt:variant>
        <vt:i4>0</vt:i4>
      </vt:variant>
      <vt:variant>
        <vt:i4>5</vt:i4>
      </vt:variant>
      <vt:variant>
        <vt:lpwstr>https://www.anz.co.nz/about-us/economic-markets-research/business-outlook/</vt:lpwstr>
      </vt:variant>
      <vt:variant>
        <vt:lpwstr/>
      </vt:variant>
      <vt:variant>
        <vt:i4>5505053</vt:i4>
      </vt:variant>
      <vt:variant>
        <vt:i4>12</vt:i4>
      </vt:variant>
      <vt:variant>
        <vt:i4>0</vt:i4>
      </vt:variant>
      <vt:variant>
        <vt:i4>5</vt:i4>
      </vt:variant>
      <vt:variant>
        <vt:lpwstr>https://www.rbnz.govt.nz/news-and-events/news/2026/07/ocr-increased-to-2-50-to-return-inflation-to-2-percent</vt:lpwstr>
      </vt:variant>
      <vt:variant>
        <vt:lpwstr/>
      </vt:variant>
      <vt:variant>
        <vt:i4>2818151</vt:i4>
      </vt:variant>
      <vt:variant>
        <vt:i4>9</vt:i4>
      </vt:variant>
      <vt:variant>
        <vt:i4>0</vt:i4>
      </vt:variant>
      <vt:variant>
        <vt:i4>5</vt:i4>
      </vt:variant>
      <vt:variant>
        <vt:lpwstr>https://www.stats.govt.nz/indicators/consumers-price-index-cpi/</vt:lpwstr>
      </vt:variant>
      <vt:variant>
        <vt:lpwstr/>
      </vt:variant>
      <vt:variant>
        <vt:i4>5505055</vt:i4>
      </vt:variant>
      <vt:variant>
        <vt:i4>6</vt:i4>
      </vt:variant>
      <vt:variant>
        <vt:i4>0</vt:i4>
      </vt:variant>
      <vt:variant>
        <vt:i4>5</vt:i4>
      </vt:variant>
      <vt:variant>
        <vt:lpwstr>https://www.stats.govt.nz/information-releases/international-migration-may-2026/</vt:lpwstr>
      </vt:variant>
      <vt:variant>
        <vt:lpwstr/>
      </vt:variant>
      <vt:variant>
        <vt:i4>3145776</vt:i4>
      </vt:variant>
      <vt:variant>
        <vt:i4>3</vt:i4>
      </vt:variant>
      <vt:variant>
        <vt:i4>0</vt:i4>
      </vt:variant>
      <vt:variant>
        <vt:i4>5</vt:i4>
      </vt:variant>
      <vt:variant>
        <vt:lpwstr>https://www.stats.govt.nz/information-releases/labour-market-statistics-march-2026-quarter/</vt:lpwstr>
      </vt:variant>
      <vt:variant>
        <vt:lpwstr/>
      </vt:variant>
      <vt:variant>
        <vt:i4>4456541</vt:i4>
      </vt:variant>
      <vt:variant>
        <vt:i4>0</vt:i4>
      </vt:variant>
      <vt:variant>
        <vt:i4>0</vt:i4>
      </vt:variant>
      <vt:variant>
        <vt:i4>5</vt:i4>
      </vt:variant>
      <vt:variant>
        <vt:lpwstr>https://www.stats.govt.nz/information-releases/gross-domestic-product-march-2026-quarter/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Walsh</dc:creator>
  <cp:keywords/>
  <cp:lastModifiedBy>Zaira Najam</cp:lastModifiedBy>
  <cp:revision>1453</cp:revision>
  <cp:lastPrinted>2026-07-26T23:49:00Z</cp:lastPrinted>
  <dcterms:created xsi:type="dcterms:W3CDTF">2026-07-08T13:27:00Z</dcterms:created>
  <dcterms:modified xsi:type="dcterms:W3CDTF">2026-07-27T00:49:00Z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0x010100B45B607ACD773D4EB5E84443122CB37F</vt:lpwstr>
  </property>
  <property fmtid="{D5CDD505-2E9C-101B-9397-08002B2CF9AE}" pid="3" name="MSIP_Label_52dda6cc-d61d-4fd2-bf18-9b3017d931cc_Enabled">
    <vt:lpwstr>true</vt:lpwstr>
  </property>
  <property fmtid="{D5CDD505-2E9C-101B-9397-08002B2CF9AE}" pid="4" name="MSIP_Label_52dda6cc-d61d-4fd2-bf18-9b3017d931cc_SetDate">
    <vt:lpwstr>2022-01-16T22:14:40Z</vt:lpwstr>
  </property>
  <property fmtid="{D5CDD505-2E9C-101B-9397-08002B2CF9AE}" pid="5" name="MSIP_Label_52dda6cc-d61d-4fd2-bf18-9b3017d931cc_Method">
    <vt:lpwstr>Privileged</vt:lpwstr>
  </property>
  <property fmtid="{D5CDD505-2E9C-101B-9397-08002B2CF9AE}" pid="6" name="MSIP_Label_52dda6cc-d61d-4fd2-bf18-9b3017d931cc_Name">
    <vt:lpwstr>[UNCLASSIFIED]</vt:lpwstr>
  </property>
  <property fmtid="{D5CDD505-2E9C-101B-9397-08002B2CF9AE}" pid="7" name="MSIP_Label_52dda6cc-d61d-4fd2-bf18-9b3017d931cc_SiteId">
    <vt:lpwstr>761dd003-d4ff-4049-8a72-8549b20fcbb1</vt:lpwstr>
  </property>
  <property fmtid="{D5CDD505-2E9C-101B-9397-08002B2CF9AE}" pid="8" name="MSIP_Label_52dda6cc-d61d-4fd2-bf18-9b3017d931cc_ActionId">
    <vt:lpwstr>9adb5016-2886-4e41-9a13-e62dbe13137f</vt:lpwstr>
  </property>
  <property fmtid="{D5CDD505-2E9C-101B-9397-08002B2CF9AE}" pid="9" name="MSIP_Label_52dda6cc-d61d-4fd2-bf18-9b3017d931cc_ContentBits">
    <vt:lpwstr>0</vt:lpwstr>
  </property>
  <property fmtid="{D5CDD505-2E9C-101B-9397-08002B2CF9AE}" pid="10" name="MediaServiceImageTags">
    <vt:lpwstr/>
  </property>
  <property fmtid="{D5CDD505-2E9C-101B-9397-08002B2CF9AE}" pid="11" name="GrammarlyDocumentId">
    <vt:lpwstr>c948e771-63e0-4b11-ad83-d7507b9bffa9</vt:lpwstr>
  </property>
  <property fmtid="{D5CDD505-2E9C-101B-9397-08002B2CF9AE}" pid="12" name="ClassificationContentMarkingFooterText">
    <vt:lpwstr>[UNCLASSIFIED]</vt:lpwstr>
  </property>
  <property fmtid="{D5CDD505-2E9C-101B-9397-08002B2CF9AE}" pid="13" name="_dlc_DocIdItemGuid">
    <vt:lpwstr>79b88910-4336-4d9d-87b3-dd7a0026e235</vt:lpwstr>
  </property>
  <property fmtid="{D5CDD505-2E9C-101B-9397-08002B2CF9AE}" pid="14" name="ClassificationContentMarkingFooterShapeIds">
    <vt:lpwstr>77fca573,f3128,11e18757,4ff63581,741fb21b,52916f3f,73ac2a70,80eb4f6,6bafcf24,1974c8f3,5f89e099</vt:lpwstr>
  </property>
  <property fmtid="{D5CDD505-2E9C-101B-9397-08002B2CF9AE}" pid="15" name="ClassificationContentMarkingFooterFontProps">
    <vt:lpwstr>#000000,11,Aptos</vt:lpwstr>
  </property>
  <property fmtid="{D5CDD505-2E9C-101B-9397-08002B2CF9AE}" pid="16" name="ClassificationContentMarkingHeaderShapeIds">
    <vt:lpwstr>30cb4ed8,50e9f503,6c88d267,4c55632a,71b3355</vt:lpwstr>
  </property>
  <property fmtid="{D5CDD505-2E9C-101B-9397-08002B2CF9AE}" pid="17" name="ClassificationContentMarkingHeaderFontProps">
    <vt:lpwstr>#000000,11,Aptos</vt:lpwstr>
  </property>
  <property fmtid="{D5CDD505-2E9C-101B-9397-08002B2CF9AE}" pid="18" name="ClassificationContentMarkingHeaderText">
    <vt:lpwstr>[UNCLASSIFIED]</vt:lpwstr>
  </property>
</Properties>
</file>