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A9AF" w14:textId="484B43C7" w:rsidR="00A331A3" w:rsidRPr="005C5438" w:rsidRDefault="00A331A3" w:rsidP="00A331A3">
      <w:pPr>
        <w:pStyle w:val="Title"/>
        <w:rPr>
          <w:rFonts w:hint="eastAsia"/>
        </w:rPr>
      </w:pPr>
      <w:r w:rsidRPr="005C5438">
        <w:t>Flexible fund stage one information session – funding approach</w:t>
      </w:r>
    </w:p>
    <w:p w14:paraId="2DA15EA4" w14:textId="77777777" w:rsidR="00A331A3" w:rsidRPr="005C5438" w:rsidRDefault="00A331A3" w:rsidP="00A331A3">
      <w:pPr>
        <w:pStyle w:val="Title"/>
        <w:rPr>
          <w:rFonts w:hint="eastAsia"/>
        </w:rPr>
      </w:pPr>
      <w:r w:rsidRPr="005C5438">
        <w:t>Accessible transcript</w:t>
      </w:r>
    </w:p>
    <w:p w14:paraId="6D5BF918" w14:textId="77777777" w:rsidR="00A331A3" w:rsidRPr="005C5438" w:rsidRDefault="00A331A3" w:rsidP="00A331A3">
      <w:pPr>
        <w:rPr>
          <w:b/>
          <w:bCs/>
        </w:rPr>
      </w:pPr>
      <w:r w:rsidRPr="005C5438">
        <w:rPr>
          <w:b/>
          <w:bCs/>
        </w:rPr>
        <w:t>On screen:</w:t>
      </w:r>
    </w:p>
    <w:p w14:paraId="7C6FF62A" w14:textId="77777777" w:rsidR="00A331A3" w:rsidRPr="005C5438" w:rsidRDefault="00A331A3" w:rsidP="00A331A3">
      <w:r w:rsidRPr="005C5438">
        <w:t>A white background with a blue diagonal pattern on the lower half is shown. Black text reads ‘Flexible fund application process information session: application process. The Ministry logo appears in the top left corner.</w:t>
      </w:r>
    </w:p>
    <w:p w14:paraId="2AB29D2A" w14:textId="6B89EF57" w:rsidR="00A331A3" w:rsidRPr="005C5438" w:rsidRDefault="00A331A3" w:rsidP="00A331A3">
      <w:r w:rsidRPr="005C5438">
        <w:t>The screen changes to a Microsoft Teams recording showing presenter video tiles and a slide deck titled “Flexible fund funding approach information session”.</w:t>
      </w:r>
    </w:p>
    <w:p w14:paraId="2144248C" w14:textId="77777777" w:rsidR="00A331A3" w:rsidRPr="005C5438" w:rsidRDefault="00A331A3" w:rsidP="00A331A3">
      <w:r w:rsidRPr="005C5438">
        <w:t xml:space="preserve">Adam Brown appears on screen speaking directly to camera. </w:t>
      </w:r>
    </w:p>
    <w:p w14:paraId="56AECA76" w14:textId="6AEA12EC" w:rsidR="009C638B" w:rsidRPr="005C5438" w:rsidRDefault="00A331A3" w:rsidP="009C638B">
      <w:pPr>
        <w:rPr>
          <w:b/>
          <w:bCs/>
        </w:rPr>
      </w:pPr>
      <w:r w:rsidRPr="005C5438">
        <w:rPr>
          <w:b/>
          <w:bCs/>
        </w:rPr>
        <w:t>Audio (A</w:t>
      </w:r>
      <w:r w:rsidR="009C638B" w:rsidRPr="005C5438">
        <w:rPr>
          <w:b/>
          <w:bCs/>
        </w:rPr>
        <w:t>dam Brown</w:t>
      </w:r>
      <w:r w:rsidRPr="005C5438">
        <w:rPr>
          <w:b/>
          <w:bCs/>
        </w:rPr>
        <w:t>)</w:t>
      </w:r>
    </w:p>
    <w:p w14:paraId="5B91D54E" w14:textId="77777777" w:rsidR="00A331A3" w:rsidRPr="005C5438" w:rsidRDefault="009C638B" w:rsidP="009C638B">
      <w:r w:rsidRPr="005C5438">
        <w:t>Kia ora koutou everyone. Let's get this afternoon's information session underway. For those that attended yesterday's session on the application process, hello again. Nice for you to be back. For those that didn't join yesterday's session, just to introduce myself, I'm Adam Brown, General Manager</w:t>
      </w:r>
      <w:r w:rsidR="00A331A3" w:rsidRPr="005C5438">
        <w:t xml:space="preserve"> </w:t>
      </w:r>
      <w:r w:rsidRPr="005C5438">
        <w:t xml:space="preserve">at the Ministry of Housing and Urban Development, responsible for housing delivery strategy and investment. </w:t>
      </w:r>
      <w:proofErr w:type="gramStart"/>
      <w:r w:rsidRPr="005C5438">
        <w:t>So</w:t>
      </w:r>
      <w:proofErr w:type="gramEnd"/>
      <w:r w:rsidRPr="005C5438">
        <w:t xml:space="preserve"> a warm welcome to you all. </w:t>
      </w:r>
    </w:p>
    <w:p w14:paraId="5068D56C" w14:textId="74C24304" w:rsidR="009C638B" w:rsidRPr="005C5438" w:rsidRDefault="009C638B" w:rsidP="009C638B">
      <w:proofErr w:type="gramStart"/>
      <w:r w:rsidRPr="005C5438">
        <w:t>So</w:t>
      </w:r>
      <w:proofErr w:type="gramEnd"/>
      <w:r w:rsidRPr="005C5438">
        <w:t xml:space="preserve"> today's session will cover the funding approach and the financial model for the </w:t>
      </w:r>
      <w:r w:rsidR="00A331A3" w:rsidRPr="005C5438">
        <w:t>f</w:t>
      </w:r>
      <w:r w:rsidRPr="005C5438">
        <w:t xml:space="preserve">lexible </w:t>
      </w:r>
      <w:r w:rsidR="00A331A3" w:rsidRPr="005C5438">
        <w:t>f</w:t>
      </w:r>
      <w:r w:rsidRPr="005C5438">
        <w:t>und.</w:t>
      </w:r>
    </w:p>
    <w:p w14:paraId="60D06C9F" w14:textId="77777777" w:rsidR="009C638B" w:rsidRPr="005C5438" w:rsidRDefault="009C638B" w:rsidP="009C638B">
      <w:r w:rsidRPr="005C5438">
        <w:t>I'll be joined by Stacey Beer from our investment team, who will take you through the content today.</w:t>
      </w:r>
    </w:p>
    <w:p w14:paraId="604EED13" w14:textId="476297BC" w:rsidR="009C638B" w:rsidRPr="005C5438" w:rsidRDefault="009C638B" w:rsidP="009C638B">
      <w:r w:rsidRPr="005C5438">
        <w:t>So, today's session follows closely from the session we had yesterday on the application process, so we don't cover the same content again. We will be repeating both of these sessions, so both the session on the application process that we had yesterday and today's session, they'll both be repeated on the 25th</w:t>
      </w:r>
      <w:r w:rsidR="00A331A3" w:rsidRPr="005C5438">
        <w:t xml:space="preserve"> </w:t>
      </w:r>
      <w:r w:rsidRPr="005C5438">
        <w:t>and 26th of March for those who couldn't make it today, or if you want to pass it on to anyone else who you think might be interested. Please note too that this session will be recorded.</w:t>
      </w:r>
    </w:p>
    <w:p w14:paraId="7A6527C1" w14:textId="69C5D6C5" w:rsidR="009C638B" w:rsidRPr="005C5438" w:rsidRDefault="009C638B" w:rsidP="009C638B">
      <w:proofErr w:type="gramStart"/>
      <w:r w:rsidRPr="005C5438">
        <w:t>So</w:t>
      </w:r>
      <w:proofErr w:type="gramEnd"/>
      <w:r w:rsidRPr="005C5438">
        <w:t xml:space="preserve"> we've got a time for Q&amp;A at the end of the session. As I said yesterday, we won't have time to cover </w:t>
      </w:r>
      <w:proofErr w:type="gramStart"/>
      <w:r w:rsidRPr="005C5438">
        <w:t>all of</w:t>
      </w:r>
      <w:proofErr w:type="gramEnd"/>
      <w:r w:rsidRPr="005C5438">
        <w:t xml:space="preserve"> the questions today, but please do post your questions and we will answer as many of them as we can today. Those that </w:t>
      </w:r>
      <w:proofErr w:type="gramStart"/>
      <w:r w:rsidRPr="005C5438">
        <w:t>were not able to</w:t>
      </w:r>
      <w:proofErr w:type="gramEnd"/>
      <w:r w:rsidR="009B4856" w:rsidRPr="005C5438">
        <w:t xml:space="preserve"> </w:t>
      </w:r>
      <w:r w:rsidRPr="005C5438">
        <w:t xml:space="preserve">answer today, we will respond to through our weekly question and answer process. And those responses will be posted on our website. </w:t>
      </w:r>
      <w:proofErr w:type="gramStart"/>
      <w:r w:rsidRPr="005C5438">
        <w:t>So</w:t>
      </w:r>
      <w:proofErr w:type="gramEnd"/>
      <w:r w:rsidRPr="005C5438">
        <w:t xml:space="preserve"> feel free to start adding any questions as Stacey is talking today and work through her presentation. And then we'll get to them at the end.</w:t>
      </w:r>
    </w:p>
    <w:p w14:paraId="0EFD595B" w14:textId="5A77B5EF" w:rsidR="009C638B" w:rsidRPr="005C5438" w:rsidRDefault="009C638B" w:rsidP="009C638B">
      <w:r w:rsidRPr="005C5438">
        <w:lastRenderedPageBreak/>
        <w:t>Just on questions, please don't submit any project specific questions in this forum today. Please direct them through to our investment</w:t>
      </w:r>
      <w:r w:rsidR="00A331A3" w:rsidRPr="005C5438">
        <w:t>@hud</w:t>
      </w:r>
      <w:r w:rsidRPr="005C5438">
        <w:t>.govt.nz inbox at any time and we will respond to those questions</w:t>
      </w:r>
      <w:r w:rsidR="00A331A3" w:rsidRPr="005C5438">
        <w:t xml:space="preserve"> </w:t>
      </w:r>
      <w:r w:rsidRPr="005C5438">
        <w:t>specifically and then post more generic responses up on our website to ensure that everyone is getting access to the same information.</w:t>
      </w:r>
    </w:p>
    <w:p w14:paraId="397E9242" w14:textId="03A54653" w:rsidR="00A331A3" w:rsidRPr="005C5438" w:rsidRDefault="00A331A3" w:rsidP="009C638B">
      <w:pPr>
        <w:rPr>
          <w:b/>
          <w:bCs/>
        </w:rPr>
      </w:pPr>
      <w:r w:rsidRPr="005C5438">
        <w:rPr>
          <w:b/>
          <w:bCs/>
        </w:rPr>
        <w:t>On screen:</w:t>
      </w:r>
    </w:p>
    <w:p w14:paraId="4B6BCDD5" w14:textId="1A780221" w:rsidR="00A331A3" w:rsidRPr="005C5438" w:rsidRDefault="00A331A3" w:rsidP="009C638B">
      <w:r w:rsidRPr="005C5438">
        <w:t xml:space="preserve">The slide changes and is titled ‘Information session agenda’. </w:t>
      </w:r>
    </w:p>
    <w:p w14:paraId="6DCD7481" w14:textId="5EDE0ADC" w:rsidR="00A331A3" w:rsidRPr="005C5438" w:rsidRDefault="00A331A3" w:rsidP="009C638B">
      <w:pPr>
        <w:rPr>
          <w:b/>
          <w:bCs/>
        </w:rPr>
      </w:pPr>
      <w:r w:rsidRPr="005C5438">
        <w:rPr>
          <w:b/>
          <w:bCs/>
        </w:rPr>
        <w:t>Audio (Adam Brown):</w:t>
      </w:r>
    </w:p>
    <w:p w14:paraId="2859B55A" w14:textId="0C75023F" w:rsidR="009C638B" w:rsidRPr="005C5438" w:rsidRDefault="009C638B" w:rsidP="009C638B">
      <w:r w:rsidRPr="005C5438">
        <w:t xml:space="preserve">Okay, so today's session will provide an overview of the funding approach and the financial model that we're using for the </w:t>
      </w:r>
      <w:r w:rsidR="00A331A3" w:rsidRPr="005C5438">
        <w:t>f</w:t>
      </w:r>
      <w:r w:rsidRPr="005C5438">
        <w:t xml:space="preserve">lexible </w:t>
      </w:r>
      <w:r w:rsidR="00A331A3" w:rsidRPr="005C5438">
        <w:t>f</w:t>
      </w:r>
      <w:r w:rsidRPr="005C5438">
        <w:t>und.</w:t>
      </w:r>
    </w:p>
    <w:p w14:paraId="4E1F901E" w14:textId="1D0E871C" w:rsidR="009C638B" w:rsidRPr="005C5438" w:rsidRDefault="009C638B" w:rsidP="009C638B">
      <w:proofErr w:type="gramStart"/>
      <w:r w:rsidRPr="005C5438">
        <w:t>So</w:t>
      </w:r>
      <w:proofErr w:type="gramEnd"/>
      <w:r w:rsidRPr="005C5438">
        <w:t xml:space="preserve"> we'll go over a couple of things as part of the session. We'll go over our new cost-based funding approach</w:t>
      </w:r>
      <w:r w:rsidR="00A331A3" w:rsidRPr="005C5438">
        <w:t xml:space="preserve"> and </w:t>
      </w:r>
      <w:r w:rsidRPr="005C5438">
        <w:t>what that looks like. We'll talk a little bit about the similarities and differences to previous approaches.</w:t>
      </w:r>
    </w:p>
    <w:p w14:paraId="2BE8A7D7" w14:textId="77777777" w:rsidR="009C638B" w:rsidRPr="005C5438" w:rsidRDefault="009C638B" w:rsidP="009C638B">
      <w:r w:rsidRPr="005C5438">
        <w:t xml:space="preserve">We'll talk about the key risk allocation changes, what that means. We'll talk about the contingency and how </w:t>
      </w:r>
      <w:proofErr w:type="gramStart"/>
      <w:r w:rsidRPr="005C5438">
        <w:t>that contingency increases</w:t>
      </w:r>
      <w:proofErr w:type="gramEnd"/>
      <w:r w:rsidRPr="005C5438">
        <w:t xml:space="preserve"> over the life of a contract. And we'll talk about the financial model, so Stacey will do a walkthrough of that.</w:t>
      </w:r>
    </w:p>
    <w:p w14:paraId="177BADE3" w14:textId="77777777" w:rsidR="009C638B" w:rsidRPr="005C5438" w:rsidRDefault="009C638B" w:rsidP="009C638B">
      <w:r w:rsidRPr="005C5438">
        <w:t>And then finally, we'll talk about how this funding approach and financial model applies to leasing scenarios, which we have already had a few questions on.</w:t>
      </w:r>
    </w:p>
    <w:p w14:paraId="0CD1D011" w14:textId="28766C84" w:rsidR="00A331A3" w:rsidRPr="005C5438" w:rsidRDefault="00A331A3" w:rsidP="009C638B">
      <w:pPr>
        <w:rPr>
          <w:b/>
          <w:bCs/>
        </w:rPr>
      </w:pPr>
      <w:r w:rsidRPr="005C5438">
        <w:rPr>
          <w:b/>
          <w:bCs/>
        </w:rPr>
        <w:t>On screen:</w:t>
      </w:r>
    </w:p>
    <w:p w14:paraId="132CD73C" w14:textId="5CC79EA9" w:rsidR="00A331A3" w:rsidRPr="005C5438" w:rsidRDefault="00A331A3" w:rsidP="009C638B">
      <w:r w:rsidRPr="005C5438">
        <w:t>The next slide is titled ‘Basis of our new funding approach’.</w:t>
      </w:r>
    </w:p>
    <w:p w14:paraId="1915C31D" w14:textId="77777777" w:rsidR="00A331A3" w:rsidRPr="005C5438" w:rsidRDefault="00A331A3" w:rsidP="00A331A3">
      <w:pPr>
        <w:rPr>
          <w:b/>
          <w:bCs/>
        </w:rPr>
      </w:pPr>
      <w:r w:rsidRPr="005C5438">
        <w:rPr>
          <w:b/>
          <w:bCs/>
        </w:rPr>
        <w:t>Audio (Adam Brown):</w:t>
      </w:r>
    </w:p>
    <w:p w14:paraId="7ECA9B94" w14:textId="5C3FEE92" w:rsidR="009C638B" w:rsidRPr="005C5438" w:rsidRDefault="009C638B" w:rsidP="009C638B">
      <w:proofErr w:type="gramStart"/>
      <w:r w:rsidRPr="005C5438">
        <w:t>So</w:t>
      </w:r>
      <w:proofErr w:type="gramEnd"/>
      <w:r w:rsidRPr="005C5438">
        <w:t xml:space="preserve"> in terms of the basis for our new funding approach, for the </w:t>
      </w:r>
      <w:r w:rsidR="00A331A3" w:rsidRPr="005C5438">
        <w:t>f</w:t>
      </w:r>
      <w:r w:rsidRPr="005C5438">
        <w:t xml:space="preserve">lexible </w:t>
      </w:r>
      <w:r w:rsidR="00A331A3" w:rsidRPr="005C5438">
        <w:t>f</w:t>
      </w:r>
      <w:r w:rsidRPr="005C5438">
        <w:t>und we've moved to a cost-based funding model.</w:t>
      </w:r>
    </w:p>
    <w:p w14:paraId="3DBF6CDC" w14:textId="7BE77105" w:rsidR="009C638B" w:rsidRPr="005C5438" w:rsidRDefault="009C638B" w:rsidP="009C638B">
      <w:r w:rsidRPr="005C5438">
        <w:t xml:space="preserve">What that means in practise is that this provides more transparency of the cost of providing social and affordable housing and better aligns the funding that we provide with the costs incurred by </w:t>
      </w:r>
      <w:r w:rsidR="00A331A3" w:rsidRPr="005C5438">
        <w:t>you as</w:t>
      </w:r>
      <w:r w:rsidRPr="005C5438">
        <w:t xml:space="preserve"> providers.</w:t>
      </w:r>
    </w:p>
    <w:p w14:paraId="73242A36" w14:textId="77777777" w:rsidR="00A331A3" w:rsidRPr="005C5438" w:rsidRDefault="009C638B" w:rsidP="009C638B">
      <w:proofErr w:type="gramStart"/>
      <w:r w:rsidRPr="005C5438">
        <w:t>So</w:t>
      </w:r>
      <w:proofErr w:type="gramEnd"/>
      <w:r w:rsidRPr="005C5438">
        <w:t xml:space="preserve"> the key practical shift that you'll see, and for those of you who have already been diving into the material, this will be </w:t>
      </w:r>
      <w:proofErr w:type="gramStart"/>
      <w:r w:rsidRPr="005C5438">
        <w:t>quite obvious</w:t>
      </w:r>
      <w:proofErr w:type="gramEnd"/>
      <w:r w:rsidRPr="005C5438">
        <w:t>, we've removed reference to market rent as the primary basis in our contracts. And we're enabling indexation that more closely follows actual costs, as well as removing some of the regional distortions</w:t>
      </w:r>
      <w:r w:rsidR="00A331A3" w:rsidRPr="005C5438">
        <w:t xml:space="preserve"> </w:t>
      </w:r>
      <w:r w:rsidRPr="005C5438">
        <w:t xml:space="preserve">that you get because of the variations in market rent. </w:t>
      </w:r>
    </w:p>
    <w:p w14:paraId="7FDD10FF" w14:textId="430774A8" w:rsidR="009C638B" w:rsidRPr="005C5438" w:rsidRDefault="009C638B" w:rsidP="009C638B">
      <w:r w:rsidRPr="005C5438">
        <w:t xml:space="preserve">So obviously this is quite a significant change to how we fund social housing and affordable rentals. And as the result of continued engagement with providers like yourselves and addresses some of the key issues that were identified in the social </w:t>
      </w:r>
      <w:proofErr w:type="gramStart"/>
      <w:r w:rsidR="009D4E07" w:rsidRPr="005C5438">
        <w:t>The</w:t>
      </w:r>
      <w:proofErr w:type="gramEnd"/>
      <w:r w:rsidR="009D4E07" w:rsidRPr="005C5438">
        <w:t xml:space="preserve"> </w:t>
      </w:r>
      <w:r w:rsidRPr="005C5438">
        <w:t>housing</w:t>
      </w:r>
      <w:r w:rsidR="00A331A3" w:rsidRPr="005C5438">
        <w:t xml:space="preserve"> </w:t>
      </w:r>
      <w:r w:rsidRPr="005C5438">
        <w:t>finance request for information that was undertaken back in late 2024.</w:t>
      </w:r>
    </w:p>
    <w:p w14:paraId="5EE1FC93" w14:textId="77777777" w:rsidR="009C638B" w:rsidRPr="005C5438" w:rsidRDefault="009C638B" w:rsidP="009C638B">
      <w:r w:rsidRPr="005C5438">
        <w:lastRenderedPageBreak/>
        <w:t>The overall goal is to simplify the approach and ensure that funding more easily reflects the costs that you experience as providers.</w:t>
      </w:r>
    </w:p>
    <w:p w14:paraId="1EA369A6" w14:textId="77777777" w:rsidR="009C638B" w:rsidRPr="005C5438" w:rsidRDefault="009C638B" w:rsidP="009C638B">
      <w:r w:rsidRPr="005C5438">
        <w:t xml:space="preserve">Okay, I'll now hand over to Stacey, who will take you through some of the details around the funding approach and the financial model. </w:t>
      </w:r>
      <w:proofErr w:type="gramStart"/>
      <w:r w:rsidRPr="005C5438">
        <w:t>So</w:t>
      </w:r>
      <w:proofErr w:type="gramEnd"/>
      <w:r w:rsidRPr="005C5438">
        <w:t xml:space="preserve"> thank you, Stacey.</w:t>
      </w:r>
    </w:p>
    <w:p w14:paraId="15DA3DCE" w14:textId="2F577E47" w:rsidR="009C638B" w:rsidRPr="005C5438" w:rsidRDefault="00A331A3" w:rsidP="009C638B">
      <w:pPr>
        <w:rPr>
          <w:b/>
          <w:bCs/>
        </w:rPr>
      </w:pPr>
      <w:r w:rsidRPr="005C5438">
        <w:rPr>
          <w:b/>
          <w:bCs/>
        </w:rPr>
        <w:t>Audio (</w:t>
      </w:r>
      <w:r w:rsidR="009C638B" w:rsidRPr="005C5438">
        <w:rPr>
          <w:b/>
          <w:bCs/>
        </w:rPr>
        <w:t>Stacey Beer</w:t>
      </w:r>
      <w:r w:rsidRPr="005C5438">
        <w:rPr>
          <w:b/>
          <w:bCs/>
        </w:rPr>
        <w:t>)</w:t>
      </w:r>
      <w:r w:rsidR="009D4E07" w:rsidRPr="005C5438">
        <w:rPr>
          <w:b/>
          <w:bCs/>
        </w:rPr>
        <w:t>:</w:t>
      </w:r>
    </w:p>
    <w:p w14:paraId="7081C427" w14:textId="4F61106B" w:rsidR="009C638B" w:rsidRPr="005C5438" w:rsidRDefault="009C638B" w:rsidP="009C638B">
      <w:r w:rsidRPr="005C5438">
        <w:t xml:space="preserve">Kia ora koutou. Ko Stacey Beer </w:t>
      </w:r>
      <w:proofErr w:type="spellStart"/>
      <w:r w:rsidR="009D4E07" w:rsidRPr="005C5438">
        <w:t>toku</w:t>
      </w:r>
      <w:proofErr w:type="spellEnd"/>
      <w:r w:rsidR="009D4E07" w:rsidRPr="005C5438">
        <w:t xml:space="preserve"> </w:t>
      </w:r>
      <w:proofErr w:type="spellStart"/>
      <w:r w:rsidR="009D4E07" w:rsidRPr="005C5438">
        <w:t>ingoa</w:t>
      </w:r>
      <w:proofErr w:type="spellEnd"/>
      <w:r w:rsidRPr="005C5438">
        <w:t xml:space="preserve">. I'm the Principal Commercial Advisor in the Portfolio Investment </w:t>
      </w:r>
      <w:r w:rsidR="009D4E07" w:rsidRPr="005C5438">
        <w:t>t</w:t>
      </w:r>
      <w:r w:rsidRPr="005C5438">
        <w:t>eam here at the Ministry of Housing and Urban Development.</w:t>
      </w:r>
    </w:p>
    <w:p w14:paraId="2D260009" w14:textId="77777777" w:rsidR="009D4E07" w:rsidRPr="005C5438" w:rsidRDefault="009C638B" w:rsidP="009C638B">
      <w:r w:rsidRPr="005C5438">
        <w:t xml:space="preserve">Before, sorry, we'll just flick over. There we go. </w:t>
      </w:r>
    </w:p>
    <w:p w14:paraId="0B59AE15" w14:textId="2CBC5978" w:rsidR="009D4E07" w:rsidRPr="005C5438" w:rsidRDefault="009D4E07" w:rsidP="009C638B">
      <w:pPr>
        <w:rPr>
          <w:b/>
          <w:bCs/>
        </w:rPr>
      </w:pPr>
      <w:r w:rsidRPr="005C5438">
        <w:rPr>
          <w:b/>
          <w:bCs/>
        </w:rPr>
        <w:t>On screen:</w:t>
      </w:r>
    </w:p>
    <w:p w14:paraId="19416724" w14:textId="42A782AE" w:rsidR="009D4E07" w:rsidRPr="005C5438" w:rsidRDefault="009D4E07" w:rsidP="009C638B">
      <w:r w:rsidRPr="005C5438">
        <w:t>The next slide is titled ‘Similarities and differences to previous approaches’</w:t>
      </w:r>
    </w:p>
    <w:p w14:paraId="3DB1F177" w14:textId="500C46E4" w:rsidR="009D4E07" w:rsidRPr="005C5438" w:rsidRDefault="009D4E07" w:rsidP="009C638B">
      <w:pPr>
        <w:rPr>
          <w:b/>
          <w:bCs/>
        </w:rPr>
      </w:pPr>
      <w:r w:rsidRPr="005C5438">
        <w:rPr>
          <w:b/>
          <w:bCs/>
        </w:rPr>
        <w:t>Audio (Stacey Beer):</w:t>
      </w:r>
    </w:p>
    <w:p w14:paraId="3D4EEE79" w14:textId="2F4D25DA" w:rsidR="009C638B" w:rsidRPr="005C5438" w:rsidRDefault="009C638B" w:rsidP="009C638B">
      <w:r w:rsidRPr="005C5438">
        <w:t>Before I go too deep into the details of the cost-based funding model, I wanted to provide a bit of context by setting out the similarities and differences between the cost-based funding approach and previous funding approaches for both social housing and affordable rentals.</w:t>
      </w:r>
    </w:p>
    <w:p w14:paraId="181F7DCA" w14:textId="77777777" w:rsidR="009C638B" w:rsidRPr="005C5438" w:rsidRDefault="009C638B" w:rsidP="009C638B">
      <w:r w:rsidRPr="005C5438">
        <w:t>Um...</w:t>
      </w:r>
    </w:p>
    <w:p w14:paraId="0B295C18" w14:textId="2D6A058D" w:rsidR="009C638B" w:rsidRPr="005C5438" w:rsidRDefault="009C638B" w:rsidP="009C638B">
      <w:r w:rsidRPr="005C5438">
        <w:t xml:space="preserve">As mentioned yesterday, the main funding available for the Budget 25 </w:t>
      </w:r>
      <w:r w:rsidR="009D4E07" w:rsidRPr="005C5438">
        <w:t>f</w:t>
      </w:r>
      <w:r w:rsidRPr="005C5438">
        <w:t xml:space="preserve">lexible </w:t>
      </w:r>
      <w:r w:rsidR="009D4E07" w:rsidRPr="005C5438">
        <w:t>f</w:t>
      </w:r>
      <w:r w:rsidRPr="005C5438">
        <w:t>und is ongoing funding, which is the same as previous social housing funding, whereas historically</w:t>
      </w:r>
      <w:r w:rsidR="009D4E07" w:rsidRPr="005C5438">
        <w:t>,</w:t>
      </w:r>
      <w:r w:rsidRPr="005C5438">
        <w:t xml:space="preserve"> affordable rentals have been largely funded by way of upfront grant funding.</w:t>
      </w:r>
    </w:p>
    <w:p w14:paraId="4CBEB08D" w14:textId="77777777" w:rsidR="009C638B" w:rsidRPr="005C5438" w:rsidRDefault="009C638B" w:rsidP="009C638B">
      <w:r w:rsidRPr="005C5438">
        <w:t xml:space="preserve">The basis of the current approach is based on cost, whereas, as Adam mentioned, both previous social housing and affordable rental funding focused on market rent to varying degrees. </w:t>
      </w:r>
      <w:proofErr w:type="gramStart"/>
      <w:r w:rsidRPr="005C5438">
        <w:t>So</w:t>
      </w:r>
      <w:proofErr w:type="gramEnd"/>
      <w:r w:rsidRPr="005C5438">
        <w:t xml:space="preserve"> this is a key difference to the current approach.</w:t>
      </w:r>
    </w:p>
    <w:p w14:paraId="5CCFE548" w14:textId="39C5883E" w:rsidR="009C638B" w:rsidRPr="005C5438" w:rsidRDefault="009C638B" w:rsidP="009C638B">
      <w:r w:rsidRPr="005C5438">
        <w:t xml:space="preserve">For both previous social housing funding and the current approach, the tenant contribution is included in the agreed amount, in the amount agreed between the </w:t>
      </w:r>
      <w:r w:rsidR="009D4E07" w:rsidRPr="005C5438">
        <w:t>M</w:t>
      </w:r>
      <w:r w:rsidRPr="005C5438">
        <w:t>inistry and the provider. Whereas for previous affordable rental funding,</w:t>
      </w:r>
      <w:r w:rsidR="009D4E07" w:rsidRPr="005C5438">
        <w:t xml:space="preserve"> </w:t>
      </w:r>
      <w:r w:rsidRPr="005C5438">
        <w:t xml:space="preserve">that relied on upfront grant funding to enable the tenant contribution to be the sole source of ongoing revenue for the provider without the need for ongoing payments from the </w:t>
      </w:r>
      <w:r w:rsidR="009D4E07" w:rsidRPr="005C5438">
        <w:t>M</w:t>
      </w:r>
      <w:r w:rsidRPr="005C5438">
        <w:t>inistry. So</w:t>
      </w:r>
      <w:r w:rsidR="009D4E07" w:rsidRPr="005C5438">
        <w:t>,</w:t>
      </w:r>
      <w:r w:rsidRPr="005C5438">
        <w:t xml:space="preserve"> this is a significant change to how affordable rentals are funded.</w:t>
      </w:r>
    </w:p>
    <w:p w14:paraId="2E9BEFE5" w14:textId="77777777" w:rsidR="009C638B" w:rsidRPr="005C5438" w:rsidRDefault="009C638B" w:rsidP="009C638B">
      <w:r w:rsidRPr="005C5438">
        <w:t>And lastly, the cost-based funding model is being used for both social housing and affordable rentals, rather than having separate funding approaches for the different tenures. And this should simplify funding for projects that provide both social housing and affordable rentals.</w:t>
      </w:r>
    </w:p>
    <w:p w14:paraId="667ECC20" w14:textId="6474B87E" w:rsidR="009D4E07" w:rsidRPr="005C5438" w:rsidRDefault="009D4E07" w:rsidP="009C638B">
      <w:pPr>
        <w:rPr>
          <w:b/>
          <w:bCs/>
        </w:rPr>
      </w:pPr>
      <w:r w:rsidRPr="005C5438">
        <w:rPr>
          <w:b/>
          <w:bCs/>
        </w:rPr>
        <w:t>On screen:</w:t>
      </w:r>
    </w:p>
    <w:p w14:paraId="493E2BBF" w14:textId="3EA67640" w:rsidR="009D4E07" w:rsidRPr="005C5438" w:rsidRDefault="009D4E07" w:rsidP="009C638B">
      <w:pPr>
        <w:rPr>
          <w:bCs/>
        </w:rPr>
      </w:pPr>
      <w:r w:rsidRPr="005C5438">
        <w:rPr>
          <w:bCs/>
        </w:rPr>
        <w:t xml:space="preserve">The next slide is titled ‘Flexible fund cost-based funding model’. There is a chart with boxes separated by equals signs. The yellow box on the left, two stacked green boxes </w:t>
      </w:r>
      <w:r w:rsidRPr="005C5438">
        <w:rPr>
          <w:bCs/>
        </w:rPr>
        <w:lastRenderedPageBreak/>
        <w:t>in the middle and the blue box on the right. The yellow box reads ‘Agreed amount’, the first green boxes read ‘Rent paid by tenant (income related rent or affordable rental contribution) + Subsidy paid by the Ministry (income related rent subsidy or affordable rental subsidy)’ and the blue box reads ‘revenue received by provider’.</w:t>
      </w:r>
    </w:p>
    <w:p w14:paraId="1B0CB1BB" w14:textId="77777777" w:rsidR="009D4E07" w:rsidRPr="005C5438" w:rsidRDefault="009D4E07" w:rsidP="009D4E07">
      <w:pPr>
        <w:rPr>
          <w:b/>
          <w:bCs/>
        </w:rPr>
      </w:pPr>
      <w:r w:rsidRPr="005C5438">
        <w:rPr>
          <w:b/>
          <w:bCs/>
        </w:rPr>
        <w:t>Audio (Stacey Beer):</w:t>
      </w:r>
    </w:p>
    <w:p w14:paraId="046E8AD7" w14:textId="1F653597" w:rsidR="009C638B" w:rsidRPr="005C5438" w:rsidRDefault="009C638B" w:rsidP="009C638B">
      <w:r w:rsidRPr="005C5438">
        <w:t xml:space="preserve">Okay, onto the cost-based funding model we've introduced for delivery under the Budget 25 </w:t>
      </w:r>
      <w:r w:rsidR="009D4E07" w:rsidRPr="005C5438">
        <w:t>f</w:t>
      </w:r>
      <w:r w:rsidRPr="005C5438">
        <w:t xml:space="preserve">lexible </w:t>
      </w:r>
      <w:r w:rsidR="009D4E07" w:rsidRPr="005C5438">
        <w:t>f</w:t>
      </w:r>
      <w:r w:rsidRPr="005C5438">
        <w:t>und. While there is a limited amount of upfront funding available for limited circumstances, most funding will be through ongoing subsidy payments to top up the contribution paid</w:t>
      </w:r>
      <w:r w:rsidR="009D4E07" w:rsidRPr="005C5438">
        <w:t xml:space="preserve"> </w:t>
      </w:r>
      <w:r w:rsidRPr="005C5438">
        <w:t xml:space="preserve">by the tenant to an amount agreed between the </w:t>
      </w:r>
      <w:r w:rsidR="009D4E07" w:rsidRPr="005C5438">
        <w:t>M</w:t>
      </w:r>
      <w:r w:rsidRPr="005C5438">
        <w:t xml:space="preserve">inistry and the provider. And </w:t>
      </w:r>
      <w:proofErr w:type="gramStart"/>
      <w:r w:rsidRPr="005C5438">
        <w:t>so</w:t>
      </w:r>
      <w:proofErr w:type="gramEnd"/>
      <w:r w:rsidRPr="005C5438">
        <w:t xml:space="preserve"> this amount, the amount that we will </w:t>
      </w:r>
      <w:r w:rsidR="009D4E07" w:rsidRPr="005C5438">
        <w:t xml:space="preserve">top up </w:t>
      </w:r>
      <w:r w:rsidRPr="005C5438">
        <w:t>to, is referred to as, unimaginatively, the agreed amount. The agreed amount will be the total revenue received by the provider.</w:t>
      </w:r>
    </w:p>
    <w:p w14:paraId="1FD11560" w14:textId="77777777" w:rsidR="009C638B" w:rsidRPr="005C5438" w:rsidRDefault="009C638B" w:rsidP="009C638B">
      <w:proofErr w:type="gramStart"/>
      <w:r w:rsidRPr="005C5438">
        <w:t>So</w:t>
      </w:r>
      <w:proofErr w:type="gramEnd"/>
      <w:r w:rsidRPr="005C5438">
        <w:t xml:space="preserve"> what this means is that the tenant contribution, whether that's income related rent for social housing or affordable rental contribution for affordable rentals, is included in the agreed amount. It is not in addition to the agreed amount.</w:t>
      </w:r>
    </w:p>
    <w:p w14:paraId="4CAE7C99" w14:textId="472D6E59" w:rsidR="009C638B" w:rsidRPr="005C5438" w:rsidRDefault="009C638B" w:rsidP="009C638B">
      <w:r w:rsidRPr="005C5438">
        <w:t>For example</w:t>
      </w:r>
      <w:r w:rsidR="009D4E07" w:rsidRPr="005C5438">
        <w:t xml:space="preserve">: </w:t>
      </w:r>
      <w:r w:rsidRPr="005C5438">
        <w:t xml:space="preserve">If the agreed amount that is agreed between the </w:t>
      </w:r>
      <w:r w:rsidR="009D4E07" w:rsidRPr="005C5438">
        <w:t>M</w:t>
      </w:r>
      <w:r w:rsidRPr="005C5438">
        <w:t>inistry and the provider is for a home is $650 per week and the tenant contribution is $100 per week, then we will top up that tenant contribution by $550</w:t>
      </w:r>
      <w:r w:rsidR="009D4E07" w:rsidRPr="005C5438">
        <w:t xml:space="preserve"> </w:t>
      </w:r>
      <w:r w:rsidRPr="005C5438">
        <w:t>to get to the total agreed amount of $650 per week. If, on the other hand, the tenant contribution is $250, then the Ministry will provide a top-up of $400 per week.</w:t>
      </w:r>
    </w:p>
    <w:p w14:paraId="51B02237" w14:textId="40870C60" w:rsidR="009C638B" w:rsidRPr="005C5438" w:rsidRDefault="009C638B" w:rsidP="009C638B">
      <w:r w:rsidRPr="005C5438">
        <w:t xml:space="preserve">This is </w:t>
      </w:r>
      <w:proofErr w:type="gramStart"/>
      <w:r w:rsidRPr="005C5438">
        <w:t>really important</w:t>
      </w:r>
      <w:proofErr w:type="gramEnd"/>
      <w:r w:rsidRPr="005C5438">
        <w:t xml:space="preserve"> to understand</w:t>
      </w:r>
      <w:r w:rsidR="009D4E07" w:rsidRPr="005C5438">
        <w:t>:</w:t>
      </w:r>
      <w:r w:rsidRPr="005C5438">
        <w:t xml:space="preserve"> how much the tenant pays</w:t>
      </w:r>
      <w:r w:rsidR="009D4E07" w:rsidRPr="005C5438">
        <w:t xml:space="preserve"> </w:t>
      </w:r>
      <w:r w:rsidRPr="005C5438">
        <w:t xml:space="preserve">changes how much the </w:t>
      </w:r>
      <w:r w:rsidR="009D4E07" w:rsidRPr="005C5438">
        <w:t>M</w:t>
      </w:r>
      <w:r w:rsidRPr="005C5438">
        <w:t xml:space="preserve">inistry pays, not how much the provider receives. </w:t>
      </w:r>
      <w:proofErr w:type="gramStart"/>
      <w:r w:rsidRPr="005C5438">
        <w:t>So</w:t>
      </w:r>
      <w:proofErr w:type="gramEnd"/>
      <w:r w:rsidRPr="005C5438">
        <w:t xml:space="preserve"> I really want people to understand that one.</w:t>
      </w:r>
    </w:p>
    <w:p w14:paraId="680748EE" w14:textId="66E92BD1" w:rsidR="009D4E07" w:rsidRPr="005C5438" w:rsidRDefault="009D4E07" w:rsidP="009C638B">
      <w:pPr>
        <w:rPr>
          <w:b/>
          <w:bCs/>
        </w:rPr>
      </w:pPr>
      <w:r w:rsidRPr="005C5438">
        <w:rPr>
          <w:b/>
          <w:bCs/>
        </w:rPr>
        <w:t xml:space="preserve">On screen: </w:t>
      </w:r>
    </w:p>
    <w:p w14:paraId="1534D025" w14:textId="481A0753" w:rsidR="009D4E07" w:rsidRPr="005C5438" w:rsidRDefault="009D4E07" w:rsidP="009C638B">
      <w:r w:rsidRPr="005C5438">
        <w:t>The chart disappears and is replaced by a set of bullets which Stacey talks through.</w:t>
      </w:r>
    </w:p>
    <w:p w14:paraId="047C03AA" w14:textId="77777777" w:rsidR="009D4E07" w:rsidRPr="005C5438" w:rsidRDefault="009D4E07" w:rsidP="009D4E07">
      <w:pPr>
        <w:rPr>
          <w:b/>
          <w:bCs/>
        </w:rPr>
      </w:pPr>
      <w:r w:rsidRPr="005C5438">
        <w:rPr>
          <w:b/>
          <w:bCs/>
        </w:rPr>
        <w:t>Audio (Stacey Beer):</w:t>
      </w:r>
    </w:p>
    <w:p w14:paraId="274FEEC0" w14:textId="77777777" w:rsidR="009D4E07" w:rsidRPr="005C5438" w:rsidRDefault="009C638B" w:rsidP="009C638B">
      <w:proofErr w:type="gramStart"/>
      <w:r w:rsidRPr="005C5438">
        <w:t>So</w:t>
      </w:r>
      <w:proofErr w:type="gramEnd"/>
      <w:r w:rsidRPr="005C5438">
        <w:t xml:space="preserve"> what is the agreed amount? It is based on estimated costs of providing the homes and that includes both ongoing costs and servicing and repayment of debt used to develop or acquire the homes. It's agreed between the </w:t>
      </w:r>
      <w:r w:rsidR="009D4E07" w:rsidRPr="005C5438">
        <w:t>M</w:t>
      </w:r>
      <w:r w:rsidRPr="005C5438">
        <w:t>inistry and the provider at a project level</w:t>
      </w:r>
      <w:r w:rsidR="009D4E07" w:rsidRPr="005C5438">
        <w:t xml:space="preserve"> (t</w:t>
      </w:r>
      <w:r w:rsidRPr="005C5438">
        <w:t xml:space="preserve">his is at </w:t>
      </w:r>
      <w:r w:rsidR="009D4E07" w:rsidRPr="005C5438">
        <w:t>s</w:t>
      </w:r>
      <w:r w:rsidRPr="005C5438">
        <w:t xml:space="preserve">tage </w:t>
      </w:r>
      <w:r w:rsidR="009D4E07" w:rsidRPr="005C5438">
        <w:t>t</w:t>
      </w:r>
      <w:r w:rsidRPr="005C5438">
        <w:t>wo</w:t>
      </w:r>
      <w:r w:rsidR="009D4E07" w:rsidRPr="005C5438">
        <w:t>)</w:t>
      </w:r>
      <w:r w:rsidRPr="005C5438">
        <w:t xml:space="preserve">. </w:t>
      </w:r>
    </w:p>
    <w:p w14:paraId="5AB47FDF" w14:textId="737F703E" w:rsidR="009C638B" w:rsidRPr="005C5438" w:rsidRDefault="009C638B" w:rsidP="009C638B">
      <w:r w:rsidRPr="005C5438">
        <w:t xml:space="preserve">Each individual home will then be assigned a percentage of the total project agreed amount to get to </w:t>
      </w:r>
      <w:proofErr w:type="gramStart"/>
      <w:r w:rsidRPr="005C5438">
        <w:t>that specific homes</w:t>
      </w:r>
      <w:proofErr w:type="gramEnd"/>
      <w:r w:rsidRPr="005C5438">
        <w:t xml:space="preserve"> agreed amount. Once again, the total amount received by the provider is</w:t>
      </w:r>
      <w:r w:rsidR="00F711E5" w:rsidRPr="005C5438">
        <w:t xml:space="preserve"> </w:t>
      </w:r>
      <w:r w:rsidRPr="005C5438">
        <w:t xml:space="preserve">contained in the agreed amount. </w:t>
      </w:r>
      <w:proofErr w:type="gramStart"/>
      <w:r w:rsidRPr="005C5438">
        <w:t>So</w:t>
      </w:r>
      <w:proofErr w:type="gramEnd"/>
      <w:r w:rsidRPr="005C5438">
        <w:t xml:space="preserve"> the risk that the tenant contribution is lower than forecast in the financial model is our risk and not the provider</w:t>
      </w:r>
      <w:r w:rsidR="00F711E5" w:rsidRPr="005C5438">
        <w:t>’</w:t>
      </w:r>
      <w:r w:rsidRPr="005C5438">
        <w:t xml:space="preserve">s. That said, you will be responsible for collecting this tenant contribution from the tenant. Failure to collect the tenant contribution from the tenant does not mean that the </w:t>
      </w:r>
      <w:r w:rsidR="00F711E5" w:rsidRPr="005C5438">
        <w:t>M</w:t>
      </w:r>
      <w:r w:rsidRPr="005C5438">
        <w:t>inistry's payments increase to cover that.</w:t>
      </w:r>
    </w:p>
    <w:p w14:paraId="17249613" w14:textId="238F8E40" w:rsidR="00F711E5" w:rsidRPr="005C5438" w:rsidRDefault="00F711E5" w:rsidP="009C638B">
      <w:pPr>
        <w:rPr>
          <w:b/>
          <w:bCs/>
        </w:rPr>
      </w:pPr>
      <w:r w:rsidRPr="005C5438">
        <w:rPr>
          <w:b/>
          <w:bCs/>
        </w:rPr>
        <w:lastRenderedPageBreak/>
        <w:t>On screen:</w:t>
      </w:r>
    </w:p>
    <w:p w14:paraId="1AB31248" w14:textId="76EB453A" w:rsidR="00F711E5" w:rsidRPr="005C5438" w:rsidRDefault="00F711E5" w:rsidP="009C638B">
      <w:r w:rsidRPr="005C5438">
        <w:t>The bullets disappear and are replaced with a table headed ‘Basis of annual adjustments to the agreed amount’. Stacey talks about the content in the table.</w:t>
      </w:r>
    </w:p>
    <w:p w14:paraId="606512F4" w14:textId="34F055FD" w:rsidR="00F711E5" w:rsidRPr="005C5438" w:rsidRDefault="00F711E5" w:rsidP="009C638B">
      <w:pPr>
        <w:rPr>
          <w:b/>
          <w:bCs/>
        </w:rPr>
      </w:pPr>
      <w:r w:rsidRPr="005C5438">
        <w:rPr>
          <w:b/>
          <w:bCs/>
        </w:rPr>
        <w:t>Audio (Stacey Beer):</w:t>
      </w:r>
    </w:p>
    <w:p w14:paraId="0475F4D8" w14:textId="77777777" w:rsidR="00F711E5" w:rsidRPr="005C5438" w:rsidRDefault="009C638B" w:rsidP="009C638B">
      <w:r w:rsidRPr="005C5438">
        <w:t xml:space="preserve">So now that we're clear about what the agreed amount is, what is it made-up of and how does that increase over time? </w:t>
      </w:r>
      <w:proofErr w:type="gramStart"/>
      <w:r w:rsidRPr="005C5438">
        <w:t>So</w:t>
      </w:r>
      <w:proofErr w:type="gramEnd"/>
      <w:r w:rsidRPr="005C5438">
        <w:t xml:space="preserve"> the agreed amount is comprised of </w:t>
      </w:r>
      <w:proofErr w:type="gramStart"/>
      <w:r w:rsidRPr="005C5438">
        <w:t>a number of</w:t>
      </w:r>
      <w:proofErr w:type="gramEnd"/>
      <w:r w:rsidRPr="005C5438">
        <w:t xml:space="preserve"> components, each of which are adjusted differently over the life of the contract. </w:t>
      </w:r>
    </w:p>
    <w:p w14:paraId="337C8125" w14:textId="719EF61B" w:rsidR="009C638B" w:rsidRPr="005C5438" w:rsidRDefault="009C638B" w:rsidP="009C638B">
      <w:r w:rsidRPr="005C5438">
        <w:t>For most contracts,</w:t>
      </w:r>
      <w:r w:rsidR="00F711E5" w:rsidRPr="005C5438">
        <w:t xml:space="preserve"> t</w:t>
      </w:r>
      <w:r w:rsidRPr="005C5438">
        <w:t>hese components are rates adjusted annually with the local authority</w:t>
      </w:r>
      <w:r w:rsidR="00F711E5" w:rsidRPr="005C5438">
        <w:t xml:space="preserve"> (</w:t>
      </w:r>
      <w:r w:rsidRPr="005C5438">
        <w:t>rates and payments inflation sub-index</w:t>
      </w:r>
      <w:r w:rsidR="00F711E5" w:rsidRPr="005C5438">
        <w:t>)</w:t>
      </w:r>
      <w:r w:rsidRPr="005C5438">
        <w:t xml:space="preserve">, insurance </w:t>
      </w:r>
      <w:r w:rsidR="00F711E5" w:rsidRPr="005C5438">
        <w:t>(</w:t>
      </w:r>
      <w:r w:rsidRPr="005C5438">
        <w:t>adjusted annually with the dwelling insurance sub-index</w:t>
      </w:r>
      <w:r w:rsidR="00F711E5" w:rsidRPr="005C5438">
        <w:t>)</w:t>
      </w:r>
      <w:r w:rsidRPr="005C5438">
        <w:t>, tenancy management</w:t>
      </w:r>
      <w:r w:rsidR="00F711E5" w:rsidRPr="005C5438">
        <w:t xml:space="preserve"> (</w:t>
      </w:r>
      <w:r w:rsidRPr="005C5438">
        <w:t>adjusted annually with labour cost index</w:t>
      </w:r>
      <w:r w:rsidR="00F711E5" w:rsidRPr="005C5438">
        <w:t xml:space="preserve">), </w:t>
      </w:r>
      <w:r w:rsidRPr="005C5438">
        <w:t>ongoing costs</w:t>
      </w:r>
      <w:r w:rsidR="00F711E5" w:rsidRPr="005C5438">
        <w:t xml:space="preserve"> (</w:t>
      </w:r>
      <w:r w:rsidRPr="005C5438">
        <w:t>adjusted annually with CPI</w:t>
      </w:r>
      <w:r w:rsidR="00F711E5" w:rsidRPr="005C5438">
        <w:t>)</w:t>
      </w:r>
      <w:r w:rsidRPr="005C5438">
        <w:t>, debt servicing and repayment</w:t>
      </w:r>
      <w:r w:rsidR="00F711E5" w:rsidRPr="005C5438">
        <w:t xml:space="preserve"> (</w:t>
      </w:r>
      <w:r w:rsidRPr="005C5438">
        <w:t>which is not adjusted annually, it remains constant over the life of the contract</w:t>
      </w:r>
      <w:r w:rsidR="00F711E5" w:rsidRPr="005C5438">
        <w:t xml:space="preserve">) </w:t>
      </w:r>
      <w:r w:rsidRPr="005C5438">
        <w:t>and contingency or risk margin. And this is adjusted annually based on the contingency</w:t>
      </w:r>
      <w:r w:rsidR="00F711E5" w:rsidRPr="005C5438">
        <w:t xml:space="preserve"> </w:t>
      </w:r>
      <w:r w:rsidRPr="005C5438">
        <w:t xml:space="preserve">increase level agreed at contracting. </w:t>
      </w:r>
      <w:proofErr w:type="gramStart"/>
      <w:r w:rsidRPr="005C5438">
        <w:t>So</w:t>
      </w:r>
      <w:proofErr w:type="gramEnd"/>
      <w:r w:rsidRPr="005C5438">
        <w:t xml:space="preserve"> these six components are added together to get the total agreed amount.</w:t>
      </w:r>
    </w:p>
    <w:p w14:paraId="125CF376" w14:textId="559D7C44" w:rsidR="00F711E5" w:rsidRPr="005C5438" w:rsidRDefault="00F711E5" w:rsidP="009C638B">
      <w:pPr>
        <w:rPr>
          <w:b/>
          <w:bCs/>
        </w:rPr>
      </w:pPr>
      <w:r w:rsidRPr="005C5438">
        <w:rPr>
          <w:b/>
          <w:bCs/>
        </w:rPr>
        <w:t>On screen:</w:t>
      </w:r>
    </w:p>
    <w:p w14:paraId="602B98C9" w14:textId="5FD21A6F" w:rsidR="00F711E5" w:rsidRPr="005C5438" w:rsidRDefault="00F711E5" w:rsidP="009C638B">
      <w:r w:rsidRPr="005C5438">
        <w:t xml:space="preserve">The slide changes and is titled ‘Key risk allocation </w:t>
      </w:r>
      <w:proofErr w:type="gramStart"/>
      <w:r w:rsidRPr="005C5438">
        <w:t>changes’</w:t>
      </w:r>
      <w:proofErr w:type="gramEnd"/>
      <w:r w:rsidRPr="005C5438">
        <w:t>. Stacey outlines the onscreen bullets.</w:t>
      </w:r>
    </w:p>
    <w:p w14:paraId="771FD628" w14:textId="19647696" w:rsidR="00F711E5" w:rsidRPr="005C5438" w:rsidRDefault="00F711E5" w:rsidP="009C638B">
      <w:pPr>
        <w:rPr>
          <w:b/>
          <w:bCs/>
        </w:rPr>
      </w:pPr>
      <w:r w:rsidRPr="005C5438">
        <w:rPr>
          <w:b/>
          <w:bCs/>
        </w:rPr>
        <w:t>Audio (Stacey Beer):</w:t>
      </w:r>
    </w:p>
    <w:p w14:paraId="4A7325BC" w14:textId="785CE990" w:rsidR="009C638B" w:rsidRPr="005C5438" w:rsidRDefault="009C638B" w:rsidP="009C638B">
      <w:r w:rsidRPr="005C5438">
        <w:t xml:space="preserve">So just a couple of key risk allocation changes that we're bringing in for the Budget 25 </w:t>
      </w:r>
      <w:r w:rsidR="00F711E5" w:rsidRPr="005C5438">
        <w:t>f</w:t>
      </w:r>
      <w:r w:rsidRPr="005C5438">
        <w:t xml:space="preserve">lexible </w:t>
      </w:r>
      <w:r w:rsidR="00F711E5" w:rsidRPr="005C5438">
        <w:t>f</w:t>
      </w:r>
      <w:r w:rsidRPr="005C5438">
        <w:t xml:space="preserve">und </w:t>
      </w:r>
      <w:r w:rsidR="00F711E5" w:rsidRPr="005C5438">
        <w:t>d</w:t>
      </w:r>
      <w:r w:rsidRPr="005C5438">
        <w:t>elivery.</w:t>
      </w:r>
    </w:p>
    <w:p w14:paraId="1F2F2711" w14:textId="32018A15" w:rsidR="009C638B" w:rsidRPr="005C5438" w:rsidRDefault="009C638B" w:rsidP="009C638B">
      <w:r w:rsidRPr="005C5438">
        <w:t>The first one I just mentioned earlier, which was that the components of the agreed amount that relate to key ongoing costs like rates and insurance are indexed to their relevant sub-index. This means that if rates or insurance at a nationwide sector level increase at significantly higher rates</w:t>
      </w:r>
      <w:r w:rsidR="00903E13" w:rsidRPr="005C5438">
        <w:t xml:space="preserve"> than</w:t>
      </w:r>
      <w:r w:rsidRPr="005C5438">
        <w:t xml:space="preserve"> general CPI, our payments will reflect this.</w:t>
      </w:r>
    </w:p>
    <w:p w14:paraId="037B9E76" w14:textId="2587A64E" w:rsidR="009C638B" w:rsidRPr="005C5438" w:rsidRDefault="009C638B" w:rsidP="009C638B">
      <w:r w:rsidRPr="005C5438">
        <w:t>That's not to say that the adjusted amount for these components will exactly match</w:t>
      </w:r>
      <w:r w:rsidR="00F711E5" w:rsidRPr="005C5438">
        <w:t xml:space="preserve"> </w:t>
      </w:r>
      <w:r w:rsidRPr="005C5438">
        <w:t>increases in the costs for a particular project</w:t>
      </w:r>
      <w:r w:rsidR="00F711E5" w:rsidRPr="005C5438">
        <w:t>;</w:t>
      </w:r>
      <w:r w:rsidRPr="005C5438">
        <w:t xml:space="preserve"> you will need to consider whether there is any reason why your </w:t>
      </w:r>
      <w:proofErr w:type="gramStart"/>
      <w:r w:rsidRPr="005C5438">
        <w:t>particular project's</w:t>
      </w:r>
      <w:proofErr w:type="gramEnd"/>
      <w:r w:rsidRPr="005C5438">
        <w:t xml:space="preserve"> costs will increase even faster than the national averages. And this is a </w:t>
      </w:r>
      <w:proofErr w:type="gramStart"/>
      <w:r w:rsidRPr="005C5438">
        <w:t>consideration,</w:t>
      </w:r>
      <w:proofErr w:type="gramEnd"/>
      <w:r w:rsidRPr="005C5438">
        <w:t xml:space="preserve"> this will be a consideration to your choice of contingency amount and contingency increase level</w:t>
      </w:r>
      <w:r w:rsidR="00F711E5" w:rsidRPr="005C5438">
        <w:t xml:space="preserve"> </w:t>
      </w:r>
      <w:r w:rsidRPr="005C5438">
        <w:t>which we'll get to in a moment.</w:t>
      </w:r>
    </w:p>
    <w:p w14:paraId="59114D64" w14:textId="0FA2F658" w:rsidR="009C638B" w:rsidRPr="005C5438" w:rsidRDefault="009C638B" w:rsidP="009C638B">
      <w:r w:rsidRPr="005C5438">
        <w:t xml:space="preserve">The second point is the introduction of a termination for </w:t>
      </w:r>
      <w:proofErr w:type="spellStart"/>
      <w:r w:rsidRPr="005C5438">
        <w:t>uninsurability</w:t>
      </w:r>
      <w:proofErr w:type="spellEnd"/>
      <w:r w:rsidRPr="005C5438">
        <w:t xml:space="preserve"> clause. Now this gives the provider the ability to terminate the contract if they are unable to insure the properties. This means that the provider will not be obligated to continue providing the house as a social house or affordable rental if they are not</w:t>
      </w:r>
      <w:r w:rsidR="00F711E5" w:rsidRPr="005C5438">
        <w:t xml:space="preserve"> </w:t>
      </w:r>
      <w:r w:rsidRPr="005C5438">
        <w:t xml:space="preserve">able to insure it as such. The term </w:t>
      </w:r>
      <w:proofErr w:type="spellStart"/>
      <w:r w:rsidRPr="005C5438">
        <w:t>uninsurability</w:t>
      </w:r>
      <w:proofErr w:type="spellEnd"/>
      <w:r w:rsidRPr="005C5438">
        <w:t xml:space="preserve"> is defined in the commercial term sheet, so I would encourage you to familiarise yourself with that section.</w:t>
      </w:r>
    </w:p>
    <w:p w14:paraId="07D2D324" w14:textId="545FF1C1" w:rsidR="009C638B" w:rsidRPr="005C5438" w:rsidRDefault="009C638B" w:rsidP="009C638B">
      <w:r w:rsidRPr="005C5438">
        <w:lastRenderedPageBreak/>
        <w:t>Note that there is no compensation paid by the Ministry for this termination, and it's the provider's choice to exercise the termination</w:t>
      </w:r>
      <w:r w:rsidR="00F711E5" w:rsidRPr="005C5438">
        <w:t>, i</w:t>
      </w:r>
      <w:r w:rsidRPr="005C5438">
        <w:t>t merely releases the provider from the obligation to continue to provide the service if the house cannot be insured.</w:t>
      </w:r>
    </w:p>
    <w:p w14:paraId="3DFACF70" w14:textId="77777777" w:rsidR="009C638B" w:rsidRPr="005C5438" w:rsidRDefault="009C638B" w:rsidP="009C638B">
      <w:r w:rsidRPr="005C5438">
        <w:t>And the final risk allocation point to mention is the introduction of a qualified change in law clause. This enables the provider to be compensated for material changes in their cost profiles that are the direct result of a qualified change in law. Again, qualified change in law is another defined term.</w:t>
      </w:r>
    </w:p>
    <w:p w14:paraId="22627A30" w14:textId="0AAA1D99" w:rsidR="009C638B" w:rsidRPr="005C5438" w:rsidRDefault="009C638B" w:rsidP="009C638B">
      <w:r w:rsidRPr="005C5438">
        <w:t xml:space="preserve">that I encourage you to familiarise yourself with. This is a change in law that is not reasonably foreseeable at the time of contracting. As </w:t>
      </w:r>
      <w:r w:rsidR="00F711E5" w:rsidRPr="005C5438">
        <w:t>a</w:t>
      </w:r>
      <w:r w:rsidRPr="005C5438">
        <w:t xml:space="preserve"> practical example, if our contracts had included this clause when the Healthy Homes </w:t>
      </w:r>
      <w:r w:rsidR="00F711E5" w:rsidRPr="005C5438">
        <w:t>s</w:t>
      </w:r>
      <w:r w:rsidRPr="005C5438">
        <w:t>tandard came into effect, if it was not reasonably foreseeable at the time of contracting,</w:t>
      </w:r>
      <w:r w:rsidR="00F711E5" w:rsidRPr="005C5438">
        <w:t xml:space="preserve"> w</w:t>
      </w:r>
      <w:r w:rsidRPr="005C5438">
        <w:t>e would have had a good faith negotiation as to how the legislation impacted the provider's costs and amended the agreed amount accordingly.</w:t>
      </w:r>
    </w:p>
    <w:p w14:paraId="3213D790" w14:textId="77777777" w:rsidR="00F711E5" w:rsidRPr="005C5438" w:rsidRDefault="009C638B" w:rsidP="009C638B">
      <w:r w:rsidRPr="005C5438">
        <w:t>These changes in risk allocation have been introduced based on feedback from both providers and financiers and are intended to lower the risk profile for providers compared to previous social housing contracts. We expect this lower risk profile to be reflected in the choice of contingency and contingency increase level</w:t>
      </w:r>
      <w:r w:rsidR="00F711E5" w:rsidRPr="005C5438">
        <w:t xml:space="preserve"> </w:t>
      </w:r>
      <w:r w:rsidRPr="005C5438">
        <w:t xml:space="preserve">which brings us to contingency. </w:t>
      </w:r>
    </w:p>
    <w:p w14:paraId="7234BA7A" w14:textId="0281D588" w:rsidR="00F711E5" w:rsidRPr="005C5438" w:rsidRDefault="00F711E5" w:rsidP="009C638B">
      <w:pPr>
        <w:rPr>
          <w:b/>
          <w:bCs/>
        </w:rPr>
      </w:pPr>
      <w:r w:rsidRPr="005C5438">
        <w:rPr>
          <w:b/>
          <w:bCs/>
        </w:rPr>
        <w:t>On screen:</w:t>
      </w:r>
    </w:p>
    <w:p w14:paraId="1989414E" w14:textId="5EF01186" w:rsidR="00F711E5" w:rsidRPr="005C5438" w:rsidRDefault="00F711E5" w:rsidP="009C638B">
      <w:r w:rsidRPr="005C5438">
        <w:t>The next slide is titled ‘contingency’; Stacey outlines the written content as she talks.</w:t>
      </w:r>
    </w:p>
    <w:p w14:paraId="73135661" w14:textId="3BFFCA21" w:rsidR="00F711E5" w:rsidRPr="005C5438" w:rsidRDefault="00F711E5" w:rsidP="009C638B">
      <w:pPr>
        <w:rPr>
          <w:b/>
          <w:bCs/>
        </w:rPr>
      </w:pPr>
      <w:r w:rsidRPr="005C5438">
        <w:rPr>
          <w:b/>
          <w:bCs/>
        </w:rPr>
        <w:t>Audio (Stacey Beer):</w:t>
      </w:r>
    </w:p>
    <w:p w14:paraId="230F2DDB" w14:textId="3E418269" w:rsidR="009C638B" w:rsidRPr="005C5438" w:rsidRDefault="009C638B" w:rsidP="009C638B">
      <w:proofErr w:type="gramStart"/>
      <w:r w:rsidRPr="005C5438">
        <w:t>So</w:t>
      </w:r>
      <w:proofErr w:type="gramEnd"/>
      <w:r w:rsidRPr="005C5438">
        <w:t xml:space="preserve"> the contingency and the contingency increase level, which I'll get to in a second, are key features of the cost-based funding model.</w:t>
      </w:r>
    </w:p>
    <w:p w14:paraId="185EFBA2" w14:textId="77777777" w:rsidR="009C638B" w:rsidRPr="005C5438" w:rsidRDefault="009C638B" w:rsidP="009C638B">
      <w:r w:rsidRPr="005C5438">
        <w:t>This is different to the development contingency which can form part of the development costs. The contingency is a component of the agreed amount that is set at contracting and adjusted annually in accordance with the contingency increase level.</w:t>
      </w:r>
    </w:p>
    <w:p w14:paraId="71A959DE" w14:textId="0805DA33" w:rsidR="009C638B" w:rsidRPr="005C5438" w:rsidRDefault="009C638B" w:rsidP="009C638B">
      <w:r w:rsidRPr="005C5438">
        <w:t>Over the life of the contract, it is intended that the contingency will be used to absorb cash flow requirements that are not otherwise provided for in the other components of the agreed amount. For example,</w:t>
      </w:r>
      <w:r w:rsidR="00F711E5" w:rsidRPr="005C5438">
        <w:t xml:space="preserve"> </w:t>
      </w:r>
      <w:r w:rsidRPr="005C5438">
        <w:t>covering potential differences in the index</w:t>
      </w:r>
      <w:r w:rsidR="00F711E5" w:rsidRPr="005C5438">
        <w:t>-</w:t>
      </w:r>
      <w:r w:rsidRPr="005C5438">
        <w:t>adjusted cost components of the agreed amount and actual costs, covering potential differences in debt repayment component of the agreed amount and actual debt servicing and repayment amounts, including any changes in interest rates.</w:t>
      </w:r>
      <w:r w:rsidR="00F711E5" w:rsidRPr="005C5438">
        <w:t xml:space="preserve"> C</w:t>
      </w:r>
      <w:r w:rsidRPr="005C5438">
        <w:t>overing costs that are not otherwise included in the makeup of the agreed amount, such as capital replacement costs, and providing sufficient cash flow to meet debt covenants.</w:t>
      </w:r>
    </w:p>
    <w:p w14:paraId="3BD450FC" w14:textId="5ADD251C" w:rsidR="00F711E5" w:rsidRPr="005C5438" w:rsidRDefault="00F711E5" w:rsidP="009C638B">
      <w:pPr>
        <w:rPr>
          <w:b/>
          <w:bCs/>
        </w:rPr>
      </w:pPr>
      <w:r w:rsidRPr="005C5438">
        <w:rPr>
          <w:b/>
          <w:bCs/>
        </w:rPr>
        <w:t>On screen:</w:t>
      </w:r>
    </w:p>
    <w:p w14:paraId="2F332B2D" w14:textId="5939F186" w:rsidR="00F711E5" w:rsidRPr="005C5438" w:rsidRDefault="00F711E5" w:rsidP="009C638B">
      <w:r w:rsidRPr="005C5438">
        <w:t xml:space="preserve">A slide titled ‘contingency increase level’ appears. There are bullets on the left and a graph on the right. </w:t>
      </w:r>
    </w:p>
    <w:p w14:paraId="43C80875" w14:textId="08C642EC" w:rsidR="00F711E5" w:rsidRPr="005C5438" w:rsidRDefault="00F711E5" w:rsidP="009C638B">
      <w:pPr>
        <w:rPr>
          <w:b/>
          <w:bCs/>
        </w:rPr>
      </w:pPr>
      <w:r w:rsidRPr="005C5438">
        <w:rPr>
          <w:b/>
          <w:bCs/>
        </w:rPr>
        <w:lastRenderedPageBreak/>
        <w:t>Audio (Stacey Beer):</w:t>
      </w:r>
    </w:p>
    <w:p w14:paraId="487C9E69" w14:textId="77777777" w:rsidR="00F711E5" w:rsidRPr="005C5438" w:rsidRDefault="009C638B" w:rsidP="009C638B">
      <w:r w:rsidRPr="005C5438">
        <w:t xml:space="preserve">Now we've got a graph here, just to break up the words, but also because it's quite demonstrative of how this all works. </w:t>
      </w:r>
    </w:p>
    <w:p w14:paraId="01283B55" w14:textId="754BF94F" w:rsidR="009C638B" w:rsidRPr="005C5438" w:rsidRDefault="009C638B" w:rsidP="009C638B">
      <w:proofErr w:type="gramStart"/>
      <w:r w:rsidRPr="005C5438">
        <w:t>So</w:t>
      </w:r>
      <w:proofErr w:type="gramEnd"/>
      <w:r w:rsidRPr="005C5438">
        <w:t xml:space="preserve"> the graph on the right shows an example of the relationship between the agreed amount, which is these dashed lines here, where's my mouse? There it is, these dashed lines, and the estimated cash requirements</w:t>
      </w:r>
      <w:r w:rsidR="00F711E5" w:rsidRPr="005C5438">
        <w:t xml:space="preserve"> </w:t>
      </w:r>
      <w:r w:rsidRPr="005C5438">
        <w:t>which is the blocks.</w:t>
      </w:r>
    </w:p>
    <w:p w14:paraId="587FB5DD" w14:textId="1DAB7871" w:rsidR="009C638B" w:rsidRPr="005C5438" w:rsidRDefault="009C638B" w:rsidP="009C638B">
      <w:proofErr w:type="gramStart"/>
      <w:r w:rsidRPr="005C5438">
        <w:t>So</w:t>
      </w:r>
      <w:proofErr w:type="gramEnd"/>
      <w:r w:rsidRPr="005C5438">
        <w:t xml:space="preserve"> the starting point of the lines is the agreed amount at the beginning of the contract. </w:t>
      </w:r>
      <w:proofErr w:type="gramStart"/>
      <w:r w:rsidRPr="005C5438">
        <w:t>So</w:t>
      </w:r>
      <w:proofErr w:type="gramEnd"/>
      <w:r w:rsidRPr="005C5438">
        <w:t xml:space="preserve"> you'll recall that the agreed amount is made-up of those six components</w:t>
      </w:r>
      <w:r w:rsidR="000D4D10" w:rsidRPr="005C5438">
        <w:t>:</w:t>
      </w:r>
      <w:r w:rsidRPr="005C5438">
        <w:t xml:space="preserve"> rates, insurance, tenancy management, other ongoing costs, debt servicing and repayment, and contingency.</w:t>
      </w:r>
      <w:r w:rsidR="000D4D10" w:rsidRPr="005C5438">
        <w:t xml:space="preserve"> </w:t>
      </w:r>
      <w:r w:rsidRPr="005C5438">
        <w:t>So, these lines are the total of those six components.</w:t>
      </w:r>
    </w:p>
    <w:p w14:paraId="3670C56A" w14:textId="77777777" w:rsidR="009C638B" w:rsidRPr="005C5438" w:rsidRDefault="009C638B" w:rsidP="009C638B">
      <w:r w:rsidRPr="005C5438">
        <w:t>The difference between these four lines is the contingency increase level. The contingency increase level sets the rate at which the contingency component of the agreed amount increases over the life of the contract.</w:t>
      </w:r>
    </w:p>
    <w:p w14:paraId="1F523D17" w14:textId="77777777" w:rsidR="009C638B" w:rsidRPr="005C5438" w:rsidRDefault="009C638B" w:rsidP="009C638B">
      <w:r w:rsidRPr="005C5438">
        <w:t>It does not impact year one cost, but it does heavily influence the whole of life cost of the project.</w:t>
      </w:r>
    </w:p>
    <w:p w14:paraId="30FE5D12" w14:textId="77777777" w:rsidR="009C638B" w:rsidRPr="005C5438" w:rsidRDefault="009C638B" w:rsidP="009C638B">
      <w:r w:rsidRPr="005C5438">
        <w:t>There are four options.</w:t>
      </w:r>
    </w:p>
    <w:p w14:paraId="29453A7B" w14:textId="77777777" w:rsidR="009C638B" w:rsidRPr="005C5438" w:rsidRDefault="009C638B" w:rsidP="009C638B">
      <w:r w:rsidRPr="005C5438">
        <w:t>Very low, that's green, low being the yellow, medium orange and high red.</w:t>
      </w:r>
    </w:p>
    <w:p w14:paraId="1A2A35B4" w14:textId="4AB87B54" w:rsidR="009C638B" w:rsidRPr="005C5438" w:rsidRDefault="009C638B" w:rsidP="009C638B">
      <w:r w:rsidRPr="005C5438">
        <w:t>The very low option, this green one here</w:t>
      </w:r>
      <w:r w:rsidR="000D4D10" w:rsidRPr="005C5438">
        <w:t xml:space="preserve">, </w:t>
      </w:r>
      <w:r w:rsidRPr="005C5438">
        <w:t>reflects a contingency component increasing with CPI. The other three options have the contingency component of the agreed amount increasing at a rate that is higher than CPI. And you can see that on this graph.</w:t>
      </w:r>
    </w:p>
    <w:p w14:paraId="605B046B" w14:textId="345809F4" w:rsidR="009C638B" w:rsidRPr="005C5438" w:rsidRDefault="009C638B" w:rsidP="009C638B">
      <w:r w:rsidRPr="005C5438">
        <w:t xml:space="preserve">So also in the graph, the navy block here, this step up at year </w:t>
      </w:r>
      <w:r w:rsidR="000D4D10" w:rsidRPr="005C5438">
        <w:t>five</w:t>
      </w:r>
      <w:r w:rsidRPr="005C5438">
        <w:t xml:space="preserve"> is an increase in the estimated long-term interest rates compared to those in the short term. And these are inputs to the model, which I'll show you in a minute.</w:t>
      </w:r>
    </w:p>
    <w:p w14:paraId="1642B745" w14:textId="0B7D78E1" w:rsidR="009C638B" w:rsidRPr="005C5438" w:rsidRDefault="009C638B" w:rsidP="009C638B">
      <w:r w:rsidRPr="005C5438">
        <w:t>The step up in the blue at year 10 is when capital replacement costs kick in in the model. And you can see that these sort of bumps in these blocks are not reflected in the lines. And so that</w:t>
      </w:r>
      <w:r w:rsidR="000D4D10" w:rsidRPr="005C5438">
        <w:t xml:space="preserve"> </w:t>
      </w:r>
      <w:r w:rsidRPr="005C5438">
        <w:t>reflects the points I made earlier that changes in debt servicing and repayment and capital replacement will use the contingency rather than changing the agreed amount.</w:t>
      </w:r>
    </w:p>
    <w:p w14:paraId="26220D02" w14:textId="4003AC6B" w:rsidR="009C638B" w:rsidRPr="005C5438" w:rsidRDefault="009C638B" w:rsidP="009C638B">
      <w:r w:rsidRPr="005C5438">
        <w:t>So, providers need to determine</w:t>
      </w:r>
      <w:r w:rsidR="000D4D10" w:rsidRPr="005C5438">
        <w:t xml:space="preserve"> </w:t>
      </w:r>
      <w:r w:rsidRPr="005C5438">
        <w:t>what increase, what contingency increase level they are comfortable with, as well as the amount of contingency at the start of the contract. And I'll go over those in the model in a moment.</w:t>
      </w:r>
    </w:p>
    <w:p w14:paraId="1D3637B7" w14:textId="6F90E23D" w:rsidR="000D4D10" w:rsidRPr="005C5438" w:rsidRDefault="000D4D10" w:rsidP="009C638B">
      <w:pPr>
        <w:rPr>
          <w:b/>
          <w:bCs/>
        </w:rPr>
      </w:pPr>
      <w:r w:rsidRPr="005C5438">
        <w:rPr>
          <w:b/>
          <w:bCs/>
        </w:rPr>
        <w:t>On screen:</w:t>
      </w:r>
    </w:p>
    <w:p w14:paraId="65C38E04" w14:textId="7B190E96" w:rsidR="000D4D10" w:rsidRPr="005C5438" w:rsidRDefault="000D4D10" w:rsidP="009C638B">
      <w:r w:rsidRPr="005C5438">
        <w:t xml:space="preserve">The next slide has two stacked yellow boxes and two yellow arrows pointing across the slide to two stacked blue boxes. </w:t>
      </w:r>
    </w:p>
    <w:p w14:paraId="27E5E2FA" w14:textId="1EBA201D" w:rsidR="000D4D10" w:rsidRPr="005C5438" w:rsidRDefault="000D4D10" w:rsidP="009C638B">
      <w:pPr>
        <w:rPr>
          <w:b/>
          <w:bCs/>
        </w:rPr>
      </w:pPr>
      <w:r w:rsidRPr="005C5438">
        <w:rPr>
          <w:b/>
          <w:bCs/>
        </w:rPr>
        <w:t>Audio (Stacey Beer):</w:t>
      </w:r>
    </w:p>
    <w:p w14:paraId="29B4916B" w14:textId="123FECB8" w:rsidR="009C638B" w:rsidRPr="005C5438" w:rsidRDefault="009C638B" w:rsidP="009C638B">
      <w:r w:rsidRPr="005C5438">
        <w:lastRenderedPageBreak/>
        <w:t xml:space="preserve">As mentioned in the application pack, the cost assessment for delivery under Budget 25 </w:t>
      </w:r>
      <w:r w:rsidR="000D4D10" w:rsidRPr="005C5438">
        <w:t>f</w:t>
      </w:r>
      <w:r w:rsidRPr="005C5438">
        <w:t xml:space="preserve">lexible </w:t>
      </w:r>
      <w:r w:rsidR="000D4D10" w:rsidRPr="005C5438">
        <w:t>f</w:t>
      </w:r>
      <w:r w:rsidRPr="005C5438">
        <w:t xml:space="preserve">und </w:t>
      </w:r>
      <w:r w:rsidR="000D4D10" w:rsidRPr="005C5438">
        <w:t>d</w:t>
      </w:r>
      <w:r w:rsidRPr="005C5438">
        <w:t xml:space="preserve">elivery will use both the Crown </w:t>
      </w:r>
      <w:r w:rsidR="000D4D10" w:rsidRPr="005C5438">
        <w:t>y</w:t>
      </w:r>
      <w:r w:rsidRPr="005C5438">
        <w:t xml:space="preserve">ear </w:t>
      </w:r>
      <w:r w:rsidR="000D4D10" w:rsidRPr="005C5438">
        <w:t>o</w:t>
      </w:r>
      <w:r w:rsidRPr="005C5438">
        <w:t xml:space="preserve">ne cost and the Crown </w:t>
      </w:r>
      <w:r w:rsidR="000D4D10" w:rsidRPr="005C5438">
        <w:t>whole</w:t>
      </w:r>
      <w:r w:rsidRPr="005C5438">
        <w:t xml:space="preserve"> of </w:t>
      </w:r>
      <w:r w:rsidR="000D4D10" w:rsidRPr="005C5438">
        <w:t>l</w:t>
      </w:r>
      <w:r w:rsidRPr="005C5438">
        <w:t xml:space="preserve">ife cost. The choice of the contingency amount impacts the Crown </w:t>
      </w:r>
      <w:r w:rsidR="000D4D10" w:rsidRPr="005C5438">
        <w:t>y</w:t>
      </w:r>
      <w:r w:rsidRPr="005C5438">
        <w:t xml:space="preserve">ear </w:t>
      </w:r>
      <w:r w:rsidR="000D4D10" w:rsidRPr="005C5438">
        <w:t>o</w:t>
      </w:r>
      <w:r w:rsidRPr="005C5438">
        <w:t>ne costs</w:t>
      </w:r>
      <w:r w:rsidR="000D4D10" w:rsidRPr="005C5438">
        <w:t xml:space="preserve"> </w:t>
      </w:r>
      <w:r w:rsidRPr="005C5438">
        <w:t xml:space="preserve">and the choice of the contingency increase level impacts the whole of life cost. </w:t>
      </w:r>
      <w:proofErr w:type="gramStart"/>
      <w:r w:rsidRPr="005C5438">
        <w:t>So</w:t>
      </w:r>
      <w:proofErr w:type="gramEnd"/>
      <w:r w:rsidRPr="005C5438">
        <w:t xml:space="preserve"> both are important and it's important that you carefully consider both in your application.</w:t>
      </w:r>
    </w:p>
    <w:p w14:paraId="7CBD06AF" w14:textId="77777777" w:rsidR="000D4D10" w:rsidRPr="005C5438" w:rsidRDefault="000D4D10" w:rsidP="000D4D10">
      <w:pPr>
        <w:rPr>
          <w:b/>
          <w:bCs/>
        </w:rPr>
      </w:pPr>
      <w:r w:rsidRPr="005C5438">
        <w:rPr>
          <w:b/>
          <w:bCs/>
        </w:rPr>
        <w:t>On screen:</w:t>
      </w:r>
    </w:p>
    <w:p w14:paraId="7AB671BD" w14:textId="13F639BF" w:rsidR="000D4D10" w:rsidRPr="005C5438" w:rsidRDefault="000D4D10" w:rsidP="000D4D10">
      <w:r w:rsidRPr="005C5438">
        <w:t>The next slide is titled ‘Sizing contingency and contingency increase level’; there is a long list of bullets which Stacey talks to.</w:t>
      </w:r>
    </w:p>
    <w:p w14:paraId="44365DC4" w14:textId="77777777" w:rsidR="000D4D10" w:rsidRPr="005C5438" w:rsidRDefault="000D4D10" w:rsidP="000D4D10">
      <w:pPr>
        <w:rPr>
          <w:b/>
          <w:bCs/>
        </w:rPr>
      </w:pPr>
      <w:r w:rsidRPr="005C5438">
        <w:rPr>
          <w:b/>
          <w:bCs/>
        </w:rPr>
        <w:t>Audio (Stacey Beer):</w:t>
      </w:r>
    </w:p>
    <w:p w14:paraId="0F3B8479" w14:textId="34DCF73B" w:rsidR="009C638B" w:rsidRPr="005C5438" w:rsidRDefault="009C638B" w:rsidP="009C638B">
      <w:r w:rsidRPr="005C5438">
        <w:t>When sizing the contingency amount and choosing the contingency increase level, the applicants must take account of the following</w:t>
      </w:r>
      <w:r w:rsidR="000D4D10" w:rsidRPr="005C5438">
        <w:t>:</w:t>
      </w:r>
    </w:p>
    <w:p w14:paraId="7955DE2F" w14:textId="5FFF59DF" w:rsidR="009C638B" w:rsidRPr="005C5438" w:rsidRDefault="000D4D10" w:rsidP="009C638B">
      <w:r w:rsidRPr="005C5438">
        <w:t>T</w:t>
      </w:r>
      <w:r w:rsidR="009C638B" w:rsidRPr="005C5438">
        <w:t>he minimum level of contingency for the project to be financially viable, key cost components such as rates and insurance being adjusted according to the relevant inflation sub-index, which means that we are providing a level of protection against extraordinary increases in these cost areas.</w:t>
      </w:r>
    </w:p>
    <w:p w14:paraId="064B8AE2" w14:textId="19F7F65A" w:rsidR="009C638B" w:rsidRPr="005C5438" w:rsidRDefault="009C638B" w:rsidP="009C638B">
      <w:r w:rsidRPr="005C5438">
        <w:t xml:space="preserve">The commercial term sheet provides for the qualified change in law clause. </w:t>
      </w:r>
      <w:proofErr w:type="gramStart"/>
      <w:r w:rsidRPr="005C5438">
        <w:t>So</w:t>
      </w:r>
      <w:proofErr w:type="gramEnd"/>
      <w:r w:rsidRPr="005C5438">
        <w:t xml:space="preserve"> you are covered if change in law results in your cost being materially higher than would otherwise be the case. The payments </w:t>
      </w:r>
      <w:r w:rsidR="000D4D10" w:rsidRPr="005C5438">
        <w:t>are</w:t>
      </w:r>
      <w:r w:rsidRPr="005C5438">
        <w:t xml:space="preserve"> sufficient to repay third party debt over the life of the contract</w:t>
      </w:r>
      <w:r w:rsidR="000D4D10" w:rsidRPr="005C5438">
        <w:t xml:space="preserve"> </w:t>
      </w:r>
      <w:r w:rsidRPr="005C5438">
        <w:t xml:space="preserve">which not only results in an unencumbered asset at the end of the </w:t>
      </w:r>
      <w:r w:rsidR="000D4D10" w:rsidRPr="005C5438">
        <w:t>contract but</w:t>
      </w:r>
      <w:r w:rsidRPr="005C5438">
        <w:t xml:space="preserve"> also results in diminishing interest rate risk over time. And then as mentioned, ownership of the properties at the end remains with the provider or the </w:t>
      </w:r>
      <w:r w:rsidR="000D4D10" w:rsidRPr="005C5438">
        <w:t>le</w:t>
      </w:r>
      <w:r w:rsidR="000E4373" w:rsidRPr="005C5438">
        <w:t>ssor</w:t>
      </w:r>
      <w:r w:rsidRPr="005C5438">
        <w:t xml:space="preserve"> if it's a leasing deal. </w:t>
      </w:r>
      <w:proofErr w:type="gramStart"/>
      <w:r w:rsidRPr="005C5438">
        <w:t>So</w:t>
      </w:r>
      <w:proofErr w:type="gramEnd"/>
      <w:r w:rsidRPr="005C5438">
        <w:t xml:space="preserve"> we require any</w:t>
      </w:r>
      <w:r w:rsidR="000D4D10" w:rsidRPr="005C5438">
        <w:t xml:space="preserve"> </w:t>
      </w:r>
      <w:r w:rsidRPr="005C5438">
        <w:t>requested contingency to solely fund the projects and applicable costs being procured in the process, not wider properties or services provided by your organisation.</w:t>
      </w:r>
    </w:p>
    <w:p w14:paraId="28256BAA" w14:textId="77777777" w:rsidR="000D4D10" w:rsidRPr="005C5438" w:rsidRDefault="000D4D10" w:rsidP="000D4D10">
      <w:pPr>
        <w:rPr>
          <w:b/>
          <w:bCs/>
        </w:rPr>
      </w:pPr>
      <w:r w:rsidRPr="005C5438">
        <w:rPr>
          <w:b/>
          <w:bCs/>
        </w:rPr>
        <w:t>On screen:</w:t>
      </w:r>
    </w:p>
    <w:p w14:paraId="3EA02B1B" w14:textId="46356CEF" w:rsidR="000D4D10" w:rsidRPr="005C5438" w:rsidRDefault="000D4D10" w:rsidP="000D4D10">
      <w:r w:rsidRPr="005C5438">
        <w:t>The next slide is titled ‘Stage one financial model’. There is a list of bullets which Stacey talks to.</w:t>
      </w:r>
    </w:p>
    <w:p w14:paraId="21A27630" w14:textId="77777777" w:rsidR="000D4D10" w:rsidRPr="005C5438" w:rsidRDefault="000D4D10" w:rsidP="000D4D10">
      <w:pPr>
        <w:rPr>
          <w:b/>
          <w:bCs/>
        </w:rPr>
      </w:pPr>
      <w:r w:rsidRPr="005C5438">
        <w:rPr>
          <w:b/>
          <w:bCs/>
        </w:rPr>
        <w:t>Audio (Stacey Beer):</w:t>
      </w:r>
    </w:p>
    <w:p w14:paraId="471E6829" w14:textId="068900C0" w:rsidR="000D4D10" w:rsidRPr="005C5438" w:rsidRDefault="009C638B" w:rsidP="009C638B">
      <w:r w:rsidRPr="005C5438">
        <w:t xml:space="preserve">In terms of the </w:t>
      </w:r>
      <w:r w:rsidR="000D4D10" w:rsidRPr="005C5438">
        <w:t>s</w:t>
      </w:r>
      <w:r w:rsidRPr="005C5438">
        <w:t>tage 1 financial model,</w:t>
      </w:r>
      <w:r w:rsidR="000D4D10" w:rsidRPr="005C5438">
        <w:t xml:space="preserve"> </w:t>
      </w:r>
      <w:r w:rsidR="005403A5" w:rsidRPr="005C5438">
        <w:t>t</w:t>
      </w:r>
      <w:r w:rsidRPr="005C5438">
        <w:t xml:space="preserve">he financial model for </w:t>
      </w:r>
      <w:r w:rsidR="000D4D10" w:rsidRPr="005C5438">
        <w:t>s</w:t>
      </w:r>
      <w:r w:rsidRPr="005C5438">
        <w:t xml:space="preserve">tage </w:t>
      </w:r>
      <w:r w:rsidR="000D4D10" w:rsidRPr="005C5438">
        <w:t>o</w:t>
      </w:r>
      <w:r w:rsidRPr="005C5438">
        <w:t xml:space="preserve">ne of the application process takes a </w:t>
      </w:r>
      <w:proofErr w:type="gramStart"/>
      <w:r w:rsidRPr="005C5438">
        <w:t>high level</w:t>
      </w:r>
      <w:proofErr w:type="gramEnd"/>
      <w:r w:rsidRPr="005C5438">
        <w:t xml:space="preserve"> approach. No project specific information such as addresses or completion dates are required in this model. In the session yesterday, Erana mentioned that we will be assessing all applications received for an investment location together</w:t>
      </w:r>
      <w:r w:rsidR="000D4D10" w:rsidRPr="005C5438">
        <w:t xml:space="preserve">, </w:t>
      </w:r>
      <w:r w:rsidRPr="005C5438">
        <w:t xml:space="preserve">meaning different locations will not be assessed against each other. </w:t>
      </w:r>
    </w:p>
    <w:p w14:paraId="4CA02A7C" w14:textId="76C9899B" w:rsidR="009C638B" w:rsidRPr="005C5438" w:rsidRDefault="009C638B" w:rsidP="009C638B">
      <w:r w:rsidRPr="005C5438">
        <w:t xml:space="preserve">This means that while applicants are only required to submit one application, regardless of the number of locations the application covers, you will need to submit at least one financial model for each location. </w:t>
      </w:r>
      <w:proofErr w:type="gramStart"/>
      <w:r w:rsidRPr="005C5438">
        <w:t>So</w:t>
      </w:r>
      <w:proofErr w:type="gramEnd"/>
      <w:r w:rsidRPr="005C5438">
        <w:t xml:space="preserve"> if you are proposing to deliver in more than one </w:t>
      </w:r>
      <w:r w:rsidRPr="005C5438">
        <w:lastRenderedPageBreak/>
        <w:t>location,</w:t>
      </w:r>
      <w:r w:rsidR="000D4D10" w:rsidRPr="005C5438">
        <w:t xml:space="preserve"> y</w:t>
      </w:r>
      <w:r w:rsidRPr="005C5438">
        <w:t>ou will need to complete more than one financial model</w:t>
      </w:r>
      <w:r w:rsidR="000D4D10" w:rsidRPr="005C5438">
        <w:t>;</w:t>
      </w:r>
      <w:r w:rsidRPr="005C5438">
        <w:t xml:space="preserve"> one for each location in which you are proposing to deliver.</w:t>
      </w:r>
    </w:p>
    <w:p w14:paraId="378AC44B" w14:textId="77777777" w:rsidR="009C638B" w:rsidRPr="005C5438" w:rsidRDefault="009C638B" w:rsidP="009C638B">
      <w:r w:rsidRPr="005C5438">
        <w:t>That said, you are welcome to submit several separate financial models for separate projects if you have sufficient details available and wish to do so.</w:t>
      </w:r>
    </w:p>
    <w:p w14:paraId="4FEB27C9" w14:textId="57C8F53A" w:rsidR="009C638B" w:rsidRPr="005C5438" w:rsidRDefault="009C638B" w:rsidP="009C638B">
      <w:r w:rsidRPr="005C5438">
        <w:t xml:space="preserve">The purpose of the </w:t>
      </w:r>
      <w:r w:rsidR="000D4D10" w:rsidRPr="005C5438">
        <w:t>s</w:t>
      </w:r>
      <w:r w:rsidRPr="005C5438">
        <w:t xml:space="preserve">tage </w:t>
      </w:r>
      <w:r w:rsidR="000D4D10" w:rsidRPr="005C5438">
        <w:t>o</w:t>
      </w:r>
      <w:r w:rsidRPr="005C5438">
        <w:t>ne financial model is for you to provide cost estimates for your proposed delivery program</w:t>
      </w:r>
      <w:r w:rsidR="000D4D10" w:rsidRPr="005C5438">
        <w:t>me</w:t>
      </w:r>
      <w:r w:rsidRPr="005C5438">
        <w:t xml:space="preserve">, including what the Crown HUD year one cost and Crown whole of life cost will be for your delivery. This does not need to be based on specific </w:t>
      </w:r>
      <w:proofErr w:type="gramStart"/>
      <w:r w:rsidRPr="005C5438">
        <w:t>sites, but</w:t>
      </w:r>
      <w:proofErr w:type="gramEnd"/>
      <w:r w:rsidRPr="005C5438">
        <w:t xml:space="preserve"> needs to provide enough information</w:t>
      </w:r>
      <w:r w:rsidR="000D4D10" w:rsidRPr="005C5438">
        <w:t xml:space="preserve"> </w:t>
      </w:r>
      <w:r w:rsidRPr="005C5438">
        <w:t>to give us confidence that the proposed delivery programme is credible and deliverable to meet our requirements.</w:t>
      </w:r>
    </w:p>
    <w:p w14:paraId="0B622C8E" w14:textId="6599425A" w:rsidR="009C638B" w:rsidRPr="005C5438" w:rsidRDefault="009C638B" w:rsidP="009C638B">
      <w:r w:rsidRPr="005C5438">
        <w:t xml:space="preserve">For preferred delivery partners moving to </w:t>
      </w:r>
      <w:r w:rsidR="000D4D10" w:rsidRPr="005C5438">
        <w:t>s</w:t>
      </w:r>
      <w:r w:rsidRPr="005C5438">
        <w:t xml:space="preserve">tage 2, the cost estimates you provide at </w:t>
      </w:r>
      <w:r w:rsidR="000D4D10" w:rsidRPr="005C5438">
        <w:t>s</w:t>
      </w:r>
      <w:r w:rsidRPr="005C5438">
        <w:t xml:space="preserve">tage 1 will form the basis of the parameters that we will agree for specific project cost assessment at </w:t>
      </w:r>
      <w:r w:rsidR="000D4D10" w:rsidRPr="005C5438">
        <w:t>s</w:t>
      </w:r>
      <w:r w:rsidRPr="005C5438">
        <w:t xml:space="preserve">tage 2. At </w:t>
      </w:r>
      <w:r w:rsidR="000D4D10" w:rsidRPr="005C5438">
        <w:t>s</w:t>
      </w:r>
      <w:r w:rsidRPr="005C5438">
        <w:t>tage 2, another financial model will be required for each individual project.</w:t>
      </w:r>
    </w:p>
    <w:p w14:paraId="5053F197" w14:textId="0B030A34" w:rsidR="009C638B" w:rsidRPr="005C5438" w:rsidRDefault="009C638B" w:rsidP="009C638B">
      <w:r w:rsidRPr="005C5438">
        <w:t xml:space="preserve">If the project is approved for delivery, this </w:t>
      </w:r>
      <w:r w:rsidR="000D4D10" w:rsidRPr="005C5438">
        <w:t>s</w:t>
      </w:r>
      <w:r w:rsidRPr="005C5438">
        <w:t>tage 2 financial model will set out the agreed amount that will be incorporated into the contract.</w:t>
      </w:r>
    </w:p>
    <w:p w14:paraId="71515F30" w14:textId="72441BC2" w:rsidR="000D4D10" w:rsidRPr="005C5438" w:rsidRDefault="000D4D10" w:rsidP="009C638B">
      <w:pPr>
        <w:rPr>
          <w:b/>
          <w:bCs/>
        </w:rPr>
      </w:pPr>
      <w:r w:rsidRPr="005C5438">
        <w:rPr>
          <w:b/>
          <w:bCs/>
        </w:rPr>
        <w:t>On screen:</w:t>
      </w:r>
    </w:p>
    <w:p w14:paraId="5DE767FA" w14:textId="2F4356F8" w:rsidR="000D4D10" w:rsidRPr="005C5438" w:rsidRDefault="000D4D10" w:rsidP="009C638B">
      <w:r w:rsidRPr="005C5438">
        <w:t xml:space="preserve">The </w:t>
      </w:r>
      <w:r w:rsidR="00A54715" w:rsidRPr="005C5438">
        <w:t>bullets on the slide change and an image of the tabs in an excel spreadsheet appear at the bottom of the screen.</w:t>
      </w:r>
    </w:p>
    <w:p w14:paraId="6210E330" w14:textId="4AE6688D" w:rsidR="00A54715" w:rsidRPr="005C5438" w:rsidRDefault="00A54715" w:rsidP="009C638B">
      <w:pPr>
        <w:rPr>
          <w:b/>
          <w:bCs/>
        </w:rPr>
      </w:pPr>
      <w:r w:rsidRPr="005C5438">
        <w:rPr>
          <w:b/>
          <w:bCs/>
        </w:rPr>
        <w:t>Audio (Stacey Beer):</w:t>
      </w:r>
    </w:p>
    <w:p w14:paraId="6C41320B" w14:textId="77777777" w:rsidR="00A54715" w:rsidRPr="005C5438" w:rsidRDefault="009C638B" w:rsidP="009C638B">
      <w:r w:rsidRPr="005C5438">
        <w:t xml:space="preserve">The </w:t>
      </w:r>
      <w:r w:rsidR="000D4D10" w:rsidRPr="005C5438">
        <w:t>s</w:t>
      </w:r>
      <w:r w:rsidRPr="005C5438">
        <w:t xml:space="preserve">tage </w:t>
      </w:r>
      <w:r w:rsidR="000D4D10" w:rsidRPr="005C5438">
        <w:t>o</w:t>
      </w:r>
      <w:r w:rsidRPr="005C5438">
        <w:t xml:space="preserve">ne financial model is a relatively straightforward model and has a similar look and feel to previous financial models the Ministry has provided for previous funding applications. There is </w:t>
      </w:r>
      <w:r w:rsidR="00A54715" w:rsidRPr="005C5438">
        <w:t>one</w:t>
      </w:r>
      <w:r w:rsidRPr="005C5438">
        <w:t xml:space="preserve"> input sheet with editable cells shaded in pale yellow.</w:t>
      </w:r>
      <w:r w:rsidR="00A54715" w:rsidRPr="005C5438">
        <w:t xml:space="preserve"> </w:t>
      </w:r>
      <w:r w:rsidRPr="005C5438">
        <w:t xml:space="preserve">And we have also provided </w:t>
      </w:r>
      <w:r w:rsidR="00A54715" w:rsidRPr="005C5438">
        <w:t>two</w:t>
      </w:r>
      <w:r w:rsidRPr="005C5438">
        <w:t xml:space="preserve"> blank sheets, which are fully editable, that you can use to show your workings for any figures required in the input sheet. </w:t>
      </w:r>
    </w:p>
    <w:p w14:paraId="7242B01C" w14:textId="1B41A66C" w:rsidR="009C638B" w:rsidRPr="005C5438" w:rsidRDefault="009C638B" w:rsidP="009C638B">
      <w:r w:rsidRPr="005C5438">
        <w:t>For example, if you have a separate spreadsheet that sets out</w:t>
      </w:r>
      <w:r w:rsidR="00A54715" w:rsidRPr="005C5438">
        <w:t xml:space="preserve"> </w:t>
      </w:r>
      <w:r w:rsidRPr="005C5438">
        <w:t>how you have calculated the development costs or ongoing costs</w:t>
      </w:r>
      <w:r w:rsidR="00A54715" w:rsidRPr="005C5438">
        <w:t>, y</w:t>
      </w:r>
      <w:r w:rsidRPr="005C5438">
        <w:t>ou can copy and paste those into these blank sheets and then link the relevant figures through to the relevant cells in the input sheet.</w:t>
      </w:r>
    </w:p>
    <w:p w14:paraId="036B08D4" w14:textId="0824EAAA" w:rsidR="009C638B" w:rsidRPr="005C5438" w:rsidRDefault="009C638B" w:rsidP="009C638B">
      <w:r w:rsidRPr="005C5438">
        <w:t>The program</w:t>
      </w:r>
      <w:r w:rsidR="00A54715" w:rsidRPr="005C5438">
        <w:t>me</w:t>
      </w:r>
      <w:r w:rsidRPr="005C5438">
        <w:t xml:space="preserve"> cashflow and chart sheets are not input </w:t>
      </w:r>
      <w:proofErr w:type="gramStart"/>
      <w:r w:rsidRPr="005C5438">
        <w:t>sheets, but</w:t>
      </w:r>
      <w:proofErr w:type="gramEnd"/>
      <w:r w:rsidRPr="005C5438">
        <w:t xml:space="preserve"> can assist you in determining the appropriate contingency amount and contingency increase level for your proposal.</w:t>
      </w:r>
    </w:p>
    <w:p w14:paraId="3F2E1D46" w14:textId="767733AD" w:rsidR="009C638B" w:rsidRPr="005C5438" w:rsidRDefault="009C638B" w:rsidP="009C638B">
      <w:r w:rsidRPr="005C5438">
        <w:t>I will now</w:t>
      </w:r>
      <w:r w:rsidR="00A54715" w:rsidRPr="005C5438">
        <w:t xml:space="preserve"> </w:t>
      </w:r>
      <w:r w:rsidRPr="005C5438">
        <w:t>briefly walk you through the input sheet of the Stage One financial model.</w:t>
      </w:r>
    </w:p>
    <w:p w14:paraId="50C726A8" w14:textId="346A4B45" w:rsidR="00A54715" w:rsidRPr="005C5438" w:rsidRDefault="00A54715" w:rsidP="009C638B">
      <w:pPr>
        <w:rPr>
          <w:b/>
          <w:bCs/>
        </w:rPr>
      </w:pPr>
      <w:r w:rsidRPr="005C5438">
        <w:rPr>
          <w:b/>
          <w:bCs/>
        </w:rPr>
        <w:t>On screen:</w:t>
      </w:r>
    </w:p>
    <w:p w14:paraId="793C8CB3" w14:textId="052AC819" w:rsidR="00A54715" w:rsidRPr="005C5438" w:rsidRDefault="00A54715" w:rsidP="009C638B">
      <w:r w:rsidRPr="005C5438">
        <w:t>Stacey starts a screenshare of an excel document.</w:t>
      </w:r>
    </w:p>
    <w:p w14:paraId="3A607533" w14:textId="53656013" w:rsidR="00A54715" w:rsidRPr="005C5438" w:rsidRDefault="00A54715" w:rsidP="009C638B">
      <w:pPr>
        <w:rPr>
          <w:b/>
          <w:bCs/>
        </w:rPr>
      </w:pPr>
      <w:r w:rsidRPr="005C5438">
        <w:rPr>
          <w:b/>
          <w:bCs/>
        </w:rPr>
        <w:t>Audio (Stacey Beer):</w:t>
      </w:r>
    </w:p>
    <w:p w14:paraId="0F13D786" w14:textId="22513C3E" w:rsidR="009C638B" w:rsidRPr="005C5438" w:rsidRDefault="009C638B" w:rsidP="009C638B">
      <w:r w:rsidRPr="005C5438">
        <w:lastRenderedPageBreak/>
        <w:t xml:space="preserve">There we go. </w:t>
      </w:r>
      <w:proofErr w:type="gramStart"/>
      <w:r w:rsidRPr="005C5438">
        <w:t>So</w:t>
      </w:r>
      <w:proofErr w:type="gramEnd"/>
      <w:r w:rsidRPr="005C5438">
        <w:t xml:space="preserve"> when you </w:t>
      </w:r>
      <w:proofErr w:type="gramStart"/>
      <w:r w:rsidRPr="005C5438">
        <w:t>open up</w:t>
      </w:r>
      <w:proofErr w:type="gramEnd"/>
      <w:r w:rsidRPr="005C5438">
        <w:t xml:space="preserve"> the financial model, it will open onto the disclaimer page, which has the disclaimer that we require. You have an introduction sheet to show the key, which the main one being that inputs are in a sheet in the</w:t>
      </w:r>
      <w:r w:rsidR="00A54715" w:rsidRPr="005C5438">
        <w:t xml:space="preserve"> </w:t>
      </w:r>
      <w:r w:rsidRPr="005C5438">
        <w:t>pale yellow.</w:t>
      </w:r>
    </w:p>
    <w:p w14:paraId="073FF4C4" w14:textId="2180CCD9" w:rsidR="009C638B" w:rsidRPr="005C5438" w:rsidRDefault="009C638B" w:rsidP="009C638B">
      <w:r w:rsidRPr="005C5438">
        <w:t xml:space="preserve">And </w:t>
      </w:r>
      <w:proofErr w:type="gramStart"/>
      <w:r w:rsidRPr="005C5438">
        <w:t>so</w:t>
      </w:r>
      <w:proofErr w:type="gramEnd"/>
      <w:r w:rsidRPr="005C5438">
        <w:t xml:space="preserve"> then this input sheet is the key one that you're working with.</w:t>
      </w:r>
      <w:r w:rsidR="00A54715" w:rsidRPr="005C5438">
        <w:t xml:space="preserve"> </w:t>
      </w:r>
    </w:p>
    <w:p w14:paraId="04491D1C" w14:textId="77777777" w:rsidR="00A54715" w:rsidRPr="005C5438" w:rsidRDefault="009C638B" w:rsidP="009C638B">
      <w:proofErr w:type="gramStart"/>
      <w:r w:rsidRPr="005C5438">
        <w:t>So</w:t>
      </w:r>
      <w:proofErr w:type="gramEnd"/>
      <w:r w:rsidRPr="005C5438">
        <w:t xml:space="preserve"> I'll go through and just put a very quick example </w:t>
      </w:r>
      <w:proofErr w:type="gramStart"/>
      <w:r w:rsidRPr="005C5438">
        <w:t>through</w:t>
      </w:r>
      <w:proofErr w:type="gramEnd"/>
      <w:r w:rsidRPr="005C5438">
        <w:t xml:space="preserve"> and you can see how it works. I'm sure a lot of you are familiar with how this works already, so it shouldn't come as too much of </w:t>
      </w:r>
      <w:r w:rsidR="00A54715" w:rsidRPr="005C5438">
        <w:t>a</w:t>
      </w:r>
      <w:r w:rsidRPr="005C5438">
        <w:t xml:space="preserve"> surprise. But you've got your application name, so that's the provider's name, the application date and then a drop-down box</w:t>
      </w:r>
      <w:r w:rsidR="00A54715" w:rsidRPr="005C5438">
        <w:t xml:space="preserve"> </w:t>
      </w:r>
      <w:r w:rsidRPr="005C5438">
        <w:t>with the provider with the location.</w:t>
      </w:r>
    </w:p>
    <w:p w14:paraId="2F2DA396" w14:textId="0243F636" w:rsidR="009C638B" w:rsidRPr="005C5438" w:rsidRDefault="009C638B" w:rsidP="009C638B">
      <w:r w:rsidRPr="005C5438">
        <w:t xml:space="preserve">You will see that only the prior locations that we're accepting applications for are in here. </w:t>
      </w:r>
      <w:proofErr w:type="gramStart"/>
      <w:r w:rsidRPr="005C5438">
        <w:t>So</w:t>
      </w:r>
      <w:proofErr w:type="gramEnd"/>
      <w:r w:rsidRPr="005C5438">
        <w:t xml:space="preserve"> if you don't see your area in here, then it's probably not an investment location for which we're accepting applications in this process.</w:t>
      </w:r>
    </w:p>
    <w:p w14:paraId="04E98B09" w14:textId="44967E67" w:rsidR="009C638B" w:rsidRPr="005C5438" w:rsidRDefault="009C638B" w:rsidP="009C638B">
      <w:proofErr w:type="gramStart"/>
      <w:r w:rsidRPr="005C5438">
        <w:t>So</w:t>
      </w:r>
      <w:proofErr w:type="gramEnd"/>
      <w:r w:rsidRPr="005C5438">
        <w:t xml:space="preserve"> we'll click on Wellington City and then you say how many of each bedroom typology for each tenure. </w:t>
      </w:r>
      <w:proofErr w:type="gramStart"/>
      <w:r w:rsidRPr="005C5438">
        <w:t>So</w:t>
      </w:r>
      <w:proofErr w:type="gramEnd"/>
      <w:r w:rsidRPr="005C5438">
        <w:t xml:space="preserve"> you've got social housing here and affordable rentals here. </w:t>
      </w:r>
      <w:proofErr w:type="gramStart"/>
      <w:r w:rsidRPr="005C5438">
        <w:t>So</w:t>
      </w:r>
      <w:proofErr w:type="gramEnd"/>
      <w:r w:rsidRPr="005C5438">
        <w:t xml:space="preserve"> if our project is </w:t>
      </w:r>
      <w:r w:rsidR="00A54715" w:rsidRPr="005C5438">
        <w:t>five</w:t>
      </w:r>
      <w:r w:rsidRPr="005C5438">
        <w:t xml:space="preserve"> two bedrooms and five three bedrooms in Wellington, we'll put those there.</w:t>
      </w:r>
    </w:p>
    <w:p w14:paraId="05C10BE3" w14:textId="77777777" w:rsidR="00A54715" w:rsidRPr="005C5438" w:rsidRDefault="009C638B" w:rsidP="009C638B">
      <w:r w:rsidRPr="005C5438">
        <w:t xml:space="preserve">And then we'll go to the development </w:t>
      </w:r>
      <w:proofErr w:type="gramStart"/>
      <w:r w:rsidRPr="005C5438">
        <w:t>costs</w:t>
      </w:r>
      <w:proofErr w:type="gramEnd"/>
      <w:r w:rsidRPr="005C5438">
        <w:t xml:space="preserve"> and you can have a greater split out of development costs, but if you've got a turnkey project, you can put the total amount excluding GST in here. </w:t>
      </w:r>
      <w:proofErr w:type="gramStart"/>
      <w:r w:rsidRPr="005C5438">
        <w:t>So</w:t>
      </w:r>
      <w:proofErr w:type="gramEnd"/>
      <w:r w:rsidRPr="005C5438">
        <w:t xml:space="preserve"> let's say for those 10 homes, we've got a turnkey</w:t>
      </w:r>
      <w:r w:rsidR="00A54715" w:rsidRPr="005C5438">
        <w:t xml:space="preserve"> p</w:t>
      </w:r>
      <w:r w:rsidRPr="005C5438">
        <w:t xml:space="preserve">rice of 6 million, excluding GST, and then GST will be calculated, which gives you </w:t>
      </w:r>
      <w:proofErr w:type="gramStart"/>
      <w:r w:rsidRPr="005C5438">
        <w:t>a</w:t>
      </w:r>
      <w:proofErr w:type="gramEnd"/>
      <w:r w:rsidRPr="005C5438">
        <w:t xml:space="preserve"> including GST total. </w:t>
      </w:r>
    </w:p>
    <w:p w14:paraId="0050D789" w14:textId="77777777" w:rsidR="00A54715" w:rsidRPr="005C5438" w:rsidRDefault="00A54715" w:rsidP="009C638B">
      <w:r w:rsidRPr="005C5438">
        <w:t>Y</w:t>
      </w:r>
      <w:r w:rsidR="009C638B" w:rsidRPr="005C5438">
        <w:t>our financing assumptions, so let's say we have 30% equity and 70% debt</w:t>
      </w:r>
      <w:r w:rsidRPr="005C5438">
        <w:t xml:space="preserve">, </w:t>
      </w:r>
      <w:r w:rsidR="009C638B" w:rsidRPr="005C5438">
        <w:t xml:space="preserve">which gives you the total debt that you're raising. And then you've got these interest rate assumptions. These are input cells. </w:t>
      </w:r>
      <w:proofErr w:type="gramStart"/>
      <w:r w:rsidR="009C638B" w:rsidRPr="005C5438">
        <w:t>So</w:t>
      </w:r>
      <w:proofErr w:type="gramEnd"/>
      <w:r w:rsidR="009C638B" w:rsidRPr="005C5438">
        <w:t xml:space="preserve"> as Erana mentioned yesterday, the </w:t>
      </w:r>
      <w:r w:rsidRPr="005C5438">
        <w:t>short-term</w:t>
      </w:r>
      <w:r w:rsidR="009C638B" w:rsidRPr="005C5438">
        <w:t xml:space="preserve"> interest rate, we require people to take into consideration the actions that the government has taken to lower the costs of financing for community housing providers</w:t>
      </w:r>
      <w:r w:rsidRPr="005C5438">
        <w:t xml:space="preserve"> </w:t>
      </w:r>
      <w:r w:rsidR="009C638B" w:rsidRPr="005C5438">
        <w:t xml:space="preserve">including the loan guarantee scheme and the lending facility to the Community Housing Funding Agency. </w:t>
      </w:r>
    </w:p>
    <w:p w14:paraId="13115E93" w14:textId="34D27AEF" w:rsidR="009C638B" w:rsidRPr="005C5438" w:rsidRDefault="009C638B" w:rsidP="009C638B">
      <w:r w:rsidRPr="005C5438">
        <w:t>And then the long-term interest rates are editable, but this is our best estimate of the long-term interest rates</w:t>
      </w:r>
      <w:r w:rsidR="00A54715" w:rsidRPr="005C5438">
        <w:t>;</w:t>
      </w:r>
      <w:r w:rsidRPr="005C5438">
        <w:t xml:space="preserve"> if you have a different view</w:t>
      </w:r>
      <w:r w:rsidR="00A54715" w:rsidRPr="005C5438">
        <w:t xml:space="preserve"> w</w:t>
      </w:r>
      <w:r w:rsidRPr="005C5438">
        <w:t>e would like you to explain that in your application, but these go, these feed into the chart, which I'll go through in a minute.</w:t>
      </w:r>
    </w:p>
    <w:p w14:paraId="1C65EF14" w14:textId="77777777" w:rsidR="009C638B" w:rsidRPr="005C5438" w:rsidRDefault="009C638B" w:rsidP="009C638B">
      <w:r w:rsidRPr="005C5438">
        <w:t xml:space="preserve">And then we get to the operating and capital replacement costs. </w:t>
      </w:r>
      <w:proofErr w:type="gramStart"/>
      <w:r w:rsidRPr="005C5438">
        <w:t>So</w:t>
      </w:r>
      <w:proofErr w:type="gramEnd"/>
      <w:r w:rsidRPr="005C5438">
        <w:t xml:space="preserve"> these are on a per unit per annum basis. </w:t>
      </w:r>
      <w:proofErr w:type="gramStart"/>
      <w:r w:rsidRPr="005C5438">
        <w:t>So</w:t>
      </w:r>
      <w:proofErr w:type="gramEnd"/>
      <w:r w:rsidRPr="005C5438">
        <w:t xml:space="preserve"> we'll just put some numbers in here as examples.</w:t>
      </w:r>
    </w:p>
    <w:p w14:paraId="26D69CD1" w14:textId="3A86CD05" w:rsidR="009C638B" w:rsidRPr="005C5438" w:rsidRDefault="009C638B" w:rsidP="009C638B">
      <w:r w:rsidRPr="005C5438">
        <w:t>Oops, let's go 1000, 100 is a little bit</w:t>
      </w:r>
      <w:r w:rsidR="00A54715" w:rsidRPr="005C5438">
        <w:t xml:space="preserve"> l</w:t>
      </w:r>
      <w:r w:rsidRPr="005C5438">
        <w:t>ow.</w:t>
      </w:r>
    </w:p>
    <w:p w14:paraId="124AC66C" w14:textId="77777777" w:rsidR="009C638B" w:rsidRPr="005C5438" w:rsidRDefault="009C638B" w:rsidP="009C638B">
      <w:proofErr w:type="gramStart"/>
      <w:r w:rsidRPr="005C5438">
        <w:t>So</w:t>
      </w:r>
      <w:proofErr w:type="gramEnd"/>
      <w:r w:rsidRPr="005C5438">
        <w:t xml:space="preserve"> you'll see that in columns F through H, there's input cells here for providing explanations for </w:t>
      </w:r>
      <w:proofErr w:type="gramStart"/>
      <w:r w:rsidRPr="005C5438">
        <w:t>all of</w:t>
      </w:r>
      <w:proofErr w:type="gramEnd"/>
      <w:r w:rsidRPr="005C5438">
        <w:t xml:space="preserve"> the inputs that you have.</w:t>
      </w:r>
    </w:p>
    <w:p w14:paraId="59AAD9D0" w14:textId="77777777" w:rsidR="009C638B" w:rsidRPr="005C5438" w:rsidRDefault="009C638B" w:rsidP="009C638B">
      <w:proofErr w:type="gramStart"/>
      <w:r w:rsidRPr="005C5438">
        <w:lastRenderedPageBreak/>
        <w:t>So</w:t>
      </w:r>
      <w:proofErr w:type="gramEnd"/>
      <w:r w:rsidRPr="005C5438">
        <w:t xml:space="preserve"> in your application, you can provide justification for why you've put your specific figure. Capital replacement we've put in here, but again, as I mentioned earlier, that doesn't impact the agreed amount, but it's there to help you sort of assess the cash flow needs over the life of the project.</w:t>
      </w:r>
    </w:p>
    <w:p w14:paraId="0A72E814" w14:textId="3A1A41F7" w:rsidR="009C638B" w:rsidRPr="005C5438" w:rsidRDefault="009C638B" w:rsidP="009C638B">
      <w:r w:rsidRPr="005C5438">
        <w:t>And then we've got the contingency or the risk margin. So here you put your required contingency per place per annum. So just as an example, we'll say 5,000 and a contingency increase level of medi</w:t>
      </w:r>
      <w:r w:rsidR="00D62F77" w:rsidRPr="005C5438">
        <w:t>um</w:t>
      </w:r>
      <w:r w:rsidRPr="005C5438">
        <w:t>.</w:t>
      </w:r>
    </w:p>
    <w:p w14:paraId="7EB4EFBE" w14:textId="375DD0E5" w:rsidR="009C638B" w:rsidRPr="005C5438" w:rsidRDefault="009C638B" w:rsidP="009C638B">
      <w:proofErr w:type="gramStart"/>
      <w:r w:rsidRPr="005C5438">
        <w:t>So</w:t>
      </w:r>
      <w:proofErr w:type="gramEnd"/>
      <w:r w:rsidRPr="005C5438">
        <w:t xml:space="preserve"> you can see that this last section calculates the agreed amount. So here we go. We've got those six components, rates, insurance, tenancy management, other costs, contingency, and debt servicing and repayment. Those are all calculated from everything you've just input. And then we scroll back up and here </w:t>
      </w:r>
      <w:proofErr w:type="gramStart"/>
      <w:r w:rsidRPr="005C5438">
        <w:t>are</w:t>
      </w:r>
      <w:proofErr w:type="gramEnd"/>
      <w:r w:rsidRPr="005C5438">
        <w:t xml:space="preserve"> the agreed amount per home. You can see that two bedrooms are a bit cheaper than three bedrooms. That's based on a formulation, based on percentages</w:t>
      </w:r>
      <w:r w:rsidR="00D62F77" w:rsidRPr="005C5438">
        <w:t xml:space="preserve"> </w:t>
      </w:r>
      <w:r w:rsidRPr="005C5438">
        <w:t xml:space="preserve">to reflect an element of relatively. It's not an exact science, it doesn't need to be an exact science for this purpose, but it demonstrates that </w:t>
      </w:r>
      <w:r w:rsidR="00D62F77" w:rsidRPr="005C5438">
        <w:t>three</w:t>
      </w:r>
      <w:r w:rsidRPr="005C5438">
        <w:t xml:space="preserve"> bedrooms are probably more expensive than two bedrooms, etc, etc. We've got the Crown year one cost per home, so including UF, which is upfront funding.</w:t>
      </w:r>
    </w:p>
    <w:p w14:paraId="7E5E4E65" w14:textId="77777777" w:rsidR="009C638B" w:rsidRPr="005C5438" w:rsidRDefault="009C638B" w:rsidP="009C638B">
      <w:proofErr w:type="gramStart"/>
      <w:r w:rsidRPr="005C5438">
        <w:t>So</w:t>
      </w:r>
      <w:proofErr w:type="gramEnd"/>
      <w:r w:rsidRPr="005C5438">
        <w:t xml:space="preserve"> this figure here is basically that figure there, less the tenant contribution, but including a funding element of the upfront, any upfront funding that is being proposed. Upfront funding is here.</w:t>
      </w:r>
    </w:p>
    <w:p w14:paraId="02F27AFF" w14:textId="77777777" w:rsidR="009C638B" w:rsidRPr="005C5438" w:rsidRDefault="009C638B" w:rsidP="009C638B">
      <w:r w:rsidRPr="005C5438">
        <w:t>So, you can put a figure in there.</w:t>
      </w:r>
    </w:p>
    <w:p w14:paraId="2B653752" w14:textId="77777777" w:rsidR="009C638B" w:rsidRPr="005C5438" w:rsidRDefault="009C638B" w:rsidP="009C638B">
      <w:r w:rsidRPr="005C5438">
        <w:t xml:space="preserve">And then you've got your Crown Hall of Life cost, which is here. </w:t>
      </w:r>
      <w:proofErr w:type="gramStart"/>
      <w:r w:rsidRPr="005C5438">
        <w:t>So</w:t>
      </w:r>
      <w:proofErr w:type="gramEnd"/>
      <w:r w:rsidRPr="005C5438">
        <w:t xml:space="preserve"> these are the two figures that we are assessing. If you like playing with models as much as I do, you will see that obviously social housing tenant contributions are lower than affordable rental tenant contributions.</w:t>
      </w:r>
    </w:p>
    <w:p w14:paraId="7EBAC6A4" w14:textId="1DC216D7" w:rsidR="009C638B" w:rsidRPr="005C5438" w:rsidRDefault="009C638B" w:rsidP="009C638B">
      <w:proofErr w:type="gramStart"/>
      <w:r w:rsidRPr="005C5438">
        <w:t>So</w:t>
      </w:r>
      <w:proofErr w:type="gramEnd"/>
      <w:r w:rsidRPr="005C5438">
        <w:t xml:space="preserve"> the year one cost and whole of life costs for social housing are higher than affordable rentals. That's not to say that we will prefer affordable rentals over social housing because of that lower cost. </w:t>
      </w:r>
      <w:proofErr w:type="gramStart"/>
      <w:r w:rsidRPr="005C5438">
        <w:t>So</w:t>
      </w:r>
      <w:proofErr w:type="gramEnd"/>
      <w:r w:rsidRPr="005C5438">
        <w:t xml:space="preserve"> we would encourage you to</w:t>
      </w:r>
      <w:r w:rsidR="00D62F77" w:rsidRPr="005C5438">
        <w:t xml:space="preserve"> </w:t>
      </w:r>
      <w:r w:rsidRPr="005C5438">
        <w:t>submit applications for the tenure that you think is appropriate for your area and for your project, not just because one is cheaper than the other.</w:t>
      </w:r>
    </w:p>
    <w:p w14:paraId="50EDB5CD" w14:textId="77777777" w:rsidR="00D62F77" w:rsidRPr="005C5438" w:rsidRDefault="009C638B" w:rsidP="009C638B">
      <w:r w:rsidRPr="005C5438">
        <w:t>So that's really the, those are the inputs. You can go over to the cash flow, which you will be familiar to social housing</w:t>
      </w:r>
      <w:r w:rsidR="00D62F77" w:rsidRPr="005C5438">
        <w:t xml:space="preserve"> </w:t>
      </w:r>
      <w:r w:rsidRPr="005C5438">
        <w:t xml:space="preserve">providers. You've got your debt service cover ratio and other things. And then the chart provides the cash flow requirements and the contingency level increases. </w:t>
      </w:r>
      <w:proofErr w:type="gramStart"/>
      <w:r w:rsidRPr="005C5438">
        <w:t>So</w:t>
      </w:r>
      <w:proofErr w:type="gramEnd"/>
      <w:r w:rsidRPr="005C5438">
        <w:t xml:space="preserve"> you can choose, this is to help you choose the most appropriate contingency increase level</w:t>
      </w:r>
      <w:r w:rsidR="00D62F77" w:rsidRPr="005C5438">
        <w:t xml:space="preserve"> f</w:t>
      </w:r>
      <w:r w:rsidRPr="005C5438">
        <w:t>or your project, which</w:t>
      </w:r>
      <w:r w:rsidR="00D62F77" w:rsidRPr="005C5438">
        <w:t xml:space="preserve"> </w:t>
      </w:r>
      <w:r w:rsidRPr="005C5438">
        <w:t xml:space="preserve">is down here. </w:t>
      </w:r>
    </w:p>
    <w:p w14:paraId="6C4E6042" w14:textId="7A63C446" w:rsidR="009C638B" w:rsidRPr="005C5438" w:rsidRDefault="009C638B" w:rsidP="009C638B">
      <w:r w:rsidRPr="005C5438">
        <w:t xml:space="preserve">You got your </w:t>
      </w:r>
      <w:r w:rsidR="00D62F77" w:rsidRPr="005C5438">
        <w:t>drop-down</w:t>
      </w:r>
      <w:r w:rsidRPr="005C5438">
        <w:t xml:space="preserve"> box, very low, low, medium and high. And again, if you play with that, you can see that that changes the whole of life cost</w:t>
      </w:r>
      <w:r w:rsidR="00D62F77" w:rsidRPr="005C5438">
        <w:t xml:space="preserve"> </w:t>
      </w:r>
      <w:r w:rsidRPr="005C5438">
        <w:t>quite a bit.</w:t>
      </w:r>
    </w:p>
    <w:p w14:paraId="5DC2D499" w14:textId="46A66237" w:rsidR="009C638B" w:rsidRPr="005C5438" w:rsidRDefault="009C638B" w:rsidP="009C638B">
      <w:r w:rsidRPr="005C5438">
        <w:t>So, that's</w:t>
      </w:r>
      <w:r w:rsidR="00D62F77" w:rsidRPr="005C5438">
        <w:t xml:space="preserve"> how</w:t>
      </w:r>
      <w:r w:rsidRPr="005C5438">
        <w:t xml:space="preserve"> the model works. It's relatively straightforward.</w:t>
      </w:r>
    </w:p>
    <w:p w14:paraId="1662DDA2" w14:textId="77777777" w:rsidR="009C638B" w:rsidRPr="005C5438" w:rsidRDefault="009C638B" w:rsidP="009C638B">
      <w:r w:rsidRPr="005C5438">
        <w:lastRenderedPageBreak/>
        <w:t>So, I will stop sharing that, and then we've just got one more slide to go until we get to Q&amp;A.</w:t>
      </w:r>
    </w:p>
    <w:p w14:paraId="7FC0FC85" w14:textId="3A43E920" w:rsidR="00D62F77" w:rsidRPr="005C5438" w:rsidRDefault="00D62F77" w:rsidP="009C638B">
      <w:pPr>
        <w:rPr>
          <w:b/>
          <w:bCs/>
        </w:rPr>
      </w:pPr>
      <w:r w:rsidRPr="005C5438">
        <w:rPr>
          <w:b/>
          <w:bCs/>
        </w:rPr>
        <w:t>On screen:</w:t>
      </w:r>
    </w:p>
    <w:p w14:paraId="498A5B53" w14:textId="04FC8902" w:rsidR="00D62F77" w:rsidRPr="005C5438" w:rsidRDefault="00D62F77" w:rsidP="009C638B">
      <w:r w:rsidRPr="005C5438">
        <w:t xml:space="preserve">A slide appears titled ‘Stage one financial model </w:t>
      </w:r>
      <w:proofErr w:type="gramStart"/>
      <w:r w:rsidRPr="005C5438">
        <w:t>walk</w:t>
      </w:r>
      <w:proofErr w:type="gramEnd"/>
      <w:r w:rsidRPr="005C5438">
        <w:t xml:space="preserve"> through’ then changes to the next slide titled ‘Leasing’. Stacey talks through the content. </w:t>
      </w:r>
    </w:p>
    <w:p w14:paraId="7A5C8D36" w14:textId="01C94338" w:rsidR="00D62F77" w:rsidRPr="005C5438" w:rsidRDefault="00D62F77" w:rsidP="009C638B">
      <w:pPr>
        <w:rPr>
          <w:b/>
          <w:bCs/>
        </w:rPr>
      </w:pPr>
      <w:r w:rsidRPr="005C5438">
        <w:rPr>
          <w:b/>
          <w:bCs/>
        </w:rPr>
        <w:t>Audio (Stacey Beer):</w:t>
      </w:r>
    </w:p>
    <w:p w14:paraId="69DD407A" w14:textId="29A46B89" w:rsidR="009C638B" w:rsidRPr="005C5438" w:rsidRDefault="009C638B" w:rsidP="009C638B">
      <w:r w:rsidRPr="005C5438">
        <w:t>That one.</w:t>
      </w:r>
    </w:p>
    <w:p w14:paraId="67FF841A" w14:textId="77777777" w:rsidR="009C638B" w:rsidRPr="005C5438" w:rsidRDefault="009C638B" w:rsidP="009C638B">
      <w:r w:rsidRPr="005C5438">
        <w:t>Here we go.</w:t>
      </w:r>
    </w:p>
    <w:p w14:paraId="507BB5FB" w14:textId="77777777" w:rsidR="009C638B" w:rsidRPr="005C5438" w:rsidRDefault="009C638B" w:rsidP="009C638B">
      <w:r w:rsidRPr="005C5438">
        <w:t>Yeah.</w:t>
      </w:r>
    </w:p>
    <w:p w14:paraId="35014489" w14:textId="77777777" w:rsidR="009C638B" w:rsidRPr="005C5438" w:rsidRDefault="009C638B" w:rsidP="009C638B">
      <w:r w:rsidRPr="005C5438">
        <w:t>So, we've had a couple of questions on leasing and how the cost-based model applies to leased projects.</w:t>
      </w:r>
    </w:p>
    <w:p w14:paraId="0CAF1A42" w14:textId="77777777" w:rsidR="009C638B" w:rsidRPr="005C5438" w:rsidRDefault="009C638B" w:rsidP="009C638B">
      <w:r w:rsidRPr="005C5438">
        <w:t>The answer is that the same contract will be used with limited changes, regardless of whether the provider owns or leases the home.</w:t>
      </w:r>
    </w:p>
    <w:p w14:paraId="348F0B54" w14:textId="7EB045F2" w:rsidR="009C638B" w:rsidRPr="005C5438" w:rsidRDefault="009C638B" w:rsidP="009C638B">
      <w:r w:rsidRPr="005C5438">
        <w:t xml:space="preserve">There are two options for leasing under the </w:t>
      </w:r>
      <w:r w:rsidR="00D62F77" w:rsidRPr="005C5438">
        <w:t>f</w:t>
      </w:r>
      <w:r w:rsidRPr="005C5438">
        <w:t xml:space="preserve">lexible </w:t>
      </w:r>
      <w:r w:rsidR="00D62F77" w:rsidRPr="005C5438">
        <w:t>f</w:t>
      </w:r>
      <w:r w:rsidRPr="005C5438">
        <w:t>und, and the way that the financial model can be utilised will depend on which option is proposed.</w:t>
      </w:r>
    </w:p>
    <w:p w14:paraId="4A89F438" w14:textId="55A0E4E9" w:rsidR="009C638B" w:rsidRPr="005C5438" w:rsidRDefault="009C638B" w:rsidP="009C638B">
      <w:r w:rsidRPr="005C5438">
        <w:t xml:space="preserve">Just to note that for either approach, we do encourage all parties to seek their own legal advice to ensure that the lease agreement that they </w:t>
      </w:r>
      <w:proofErr w:type="gramStart"/>
      <w:r w:rsidRPr="005C5438">
        <w:t>enter into</w:t>
      </w:r>
      <w:proofErr w:type="gramEnd"/>
      <w:r w:rsidRPr="005C5438">
        <w:t xml:space="preserve"> is aligned and consistent with the provider's contract with the Crown. Upfront funding, as has been mentioned, is not available for projects</w:t>
      </w:r>
      <w:r w:rsidR="006276CD" w:rsidRPr="005C5438">
        <w:t xml:space="preserve"> </w:t>
      </w:r>
      <w:r w:rsidRPr="005C5438">
        <w:t>where the provider does not own the homes. And the social housing, sorry, the housing option being section 20 of the commercial term sheet will not apply to homes that are leased from third parties.</w:t>
      </w:r>
    </w:p>
    <w:p w14:paraId="601A41D6" w14:textId="2B9A951C" w:rsidR="009C638B" w:rsidRPr="005C5438" w:rsidRDefault="009C638B" w:rsidP="009C638B">
      <w:proofErr w:type="gramStart"/>
      <w:r w:rsidRPr="005C5438">
        <w:t>So</w:t>
      </w:r>
      <w:proofErr w:type="gramEnd"/>
      <w:r w:rsidRPr="005C5438">
        <w:t xml:space="preserve"> in terms of those two options, the first option and the one that we expect most leasing applications to apply</w:t>
      </w:r>
      <w:r w:rsidR="006276CD" w:rsidRPr="005C5438">
        <w:t>,</w:t>
      </w:r>
      <w:r w:rsidRPr="005C5438">
        <w:t xml:space="preserve"> is for long term contracts. </w:t>
      </w:r>
      <w:proofErr w:type="gramStart"/>
      <w:r w:rsidRPr="005C5438">
        <w:t>So</w:t>
      </w:r>
      <w:proofErr w:type="gramEnd"/>
      <w:r w:rsidRPr="005C5438">
        <w:t xml:space="preserve"> this is if a lessor requires a rental amount that is higher than market rent and or</w:t>
      </w:r>
      <w:r w:rsidR="006276CD" w:rsidRPr="005C5438">
        <w:t xml:space="preserve"> </w:t>
      </w:r>
      <w:r w:rsidRPr="005C5438">
        <w:t xml:space="preserve">a long-term commitment, </w:t>
      </w:r>
      <w:proofErr w:type="spellStart"/>
      <w:r w:rsidRPr="005C5438">
        <w:t>i.e</w:t>
      </w:r>
      <w:proofErr w:type="spellEnd"/>
      <w:r w:rsidR="006276CD" w:rsidRPr="005C5438">
        <w:t>,</w:t>
      </w:r>
      <w:r w:rsidRPr="005C5438">
        <w:t xml:space="preserve"> up to 25 years, </w:t>
      </w:r>
      <w:proofErr w:type="gramStart"/>
      <w:r w:rsidRPr="005C5438">
        <w:t>in order to</w:t>
      </w:r>
      <w:proofErr w:type="gramEnd"/>
      <w:r w:rsidRPr="005C5438">
        <w:t xml:space="preserve"> make the development feasible. The cost-based funding model that we've just discussed would apply in this circumstance. So</w:t>
      </w:r>
      <w:r w:rsidR="006276CD" w:rsidRPr="005C5438">
        <w:t>,</w:t>
      </w:r>
      <w:r w:rsidRPr="005C5438">
        <w:t xml:space="preserve"> applicants will need to work with their leasing partners to complete the financial model</w:t>
      </w:r>
      <w:r w:rsidR="006276CD" w:rsidRPr="005C5438">
        <w:t xml:space="preserve"> </w:t>
      </w:r>
      <w:r w:rsidRPr="005C5438">
        <w:t>as both parties will need to input into the model and be comfortable with it. And that includes the amount of contingency and the chosen contingency increase level.</w:t>
      </w:r>
    </w:p>
    <w:p w14:paraId="1FF7B4CB" w14:textId="77777777" w:rsidR="006276CD" w:rsidRPr="005C5438" w:rsidRDefault="009C638B" w:rsidP="009C638B">
      <w:r w:rsidRPr="005C5438">
        <w:t xml:space="preserve">The second option is short-term contracts. This is for lessors that require a market-based approach. And this can be accommodated by inclusion of market rent as a component of costs. </w:t>
      </w:r>
    </w:p>
    <w:p w14:paraId="5AEF949A" w14:textId="77777777" w:rsidR="006276CD" w:rsidRPr="005C5438" w:rsidRDefault="009C638B" w:rsidP="009C638B">
      <w:proofErr w:type="gramStart"/>
      <w:r w:rsidRPr="005C5438">
        <w:t>So</w:t>
      </w:r>
      <w:proofErr w:type="gramEnd"/>
      <w:r w:rsidRPr="005C5438">
        <w:t xml:space="preserve"> in this case, the project agreed amount will be comprised of three components</w:t>
      </w:r>
      <w:r w:rsidR="006276CD" w:rsidRPr="005C5438">
        <w:t>:</w:t>
      </w:r>
      <w:r w:rsidRPr="005C5438">
        <w:t xml:space="preserve"> market rent,</w:t>
      </w:r>
      <w:r w:rsidR="006276CD" w:rsidRPr="005C5438">
        <w:t xml:space="preserve"> </w:t>
      </w:r>
      <w:r w:rsidRPr="005C5438">
        <w:t>which would be adjusted annually with market rent inflation for that region</w:t>
      </w:r>
      <w:r w:rsidR="006276CD" w:rsidRPr="005C5438">
        <w:t>, t</w:t>
      </w:r>
      <w:r w:rsidRPr="005C5438">
        <w:t xml:space="preserve">enancy management, adjusted annually with labour cost index, and other costs, adjusted annually with general CPI. </w:t>
      </w:r>
      <w:proofErr w:type="gramStart"/>
      <w:r w:rsidRPr="005C5438">
        <w:t>So</w:t>
      </w:r>
      <w:proofErr w:type="gramEnd"/>
      <w:r w:rsidRPr="005C5438">
        <w:t xml:space="preserve"> these other costs could be head office costs or </w:t>
      </w:r>
      <w:r w:rsidRPr="005C5438">
        <w:lastRenderedPageBreak/>
        <w:t>other costs incurred by the lessee, such as contents insurance,</w:t>
      </w:r>
      <w:r w:rsidR="006276CD" w:rsidRPr="005C5438">
        <w:t xml:space="preserve"> </w:t>
      </w:r>
      <w:r w:rsidRPr="005C5438">
        <w:t xml:space="preserve">and cleaning or grounds maintenance. </w:t>
      </w:r>
    </w:p>
    <w:p w14:paraId="0F2F4AAA" w14:textId="324D6FBD" w:rsidR="009C638B" w:rsidRPr="005C5438" w:rsidRDefault="009C638B" w:rsidP="009C638B">
      <w:r w:rsidRPr="005C5438">
        <w:t>Note that this approach is more akin to any other lease for a residential property and does not include above market rent or long-term commitments from the Crown. As such, contracts using this approach could be for terms of less than 25 years</w:t>
      </w:r>
      <w:r w:rsidR="006276CD" w:rsidRPr="005C5438">
        <w:t xml:space="preserve">, </w:t>
      </w:r>
      <w:r w:rsidRPr="005C5438">
        <w:t>at the Ministry's discretion</w:t>
      </w:r>
      <w:r w:rsidR="006276CD" w:rsidRPr="005C5438">
        <w:t>,</w:t>
      </w:r>
      <w:r w:rsidRPr="005C5438">
        <w:t xml:space="preserve"> and would remove paragraph D from the early termination compensation calculations, noting that reasonable break costs are still paid in the event of early termination.</w:t>
      </w:r>
    </w:p>
    <w:p w14:paraId="38B45A9C" w14:textId="4DD8B3AA" w:rsidR="009C638B" w:rsidRPr="005C5438" w:rsidRDefault="009C638B" w:rsidP="009C638B">
      <w:r w:rsidRPr="005C5438">
        <w:t xml:space="preserve">For </w:t>
      </w:r>
      <w:r w:rsidR="006276CD" w:rsidRPr="005C5438">
        <w:t>s</w:t>
      </w:r>
      <w:r w:rsidRPr="005C5438">
        <w:t xml:space="preserve">tage </w:t>
      </w:r>
      <w:r w:rsidR="006276CD" w:rsidRPr="005C5438">
        <w:t>o</w:t>
      </w:r>
      <w:r w:rsidRPr="005C5438">
        <w:t>ne applications that choose to take this approach, you can simply include the annual rent amount, annual market rent amount, together with the other costs in cell D77 of the input sheet. You do not need to complete the development costs, financing assumptions,</w:t>
      </w:r>
      <w:r w:rsidR="00D809E3" w:rsidRPr="005C5438">
        <w:t xml:space="preserve"> </w:t>
      </w:r>
      <w:r w:rsidRPr="005C5438">
        <w:t>interest rate assumptions or contingency risk margin sections of the model. But please provide a note in cell F77 of the input sheet that these costs include market rent for the homes. The agreed amount per home, the Crown year one cost and the Crown whole life cost</w:t>
      </w:r>
      <w:r w:rsidR="00D809E3" w:rsidRPr="005C5438">
        <w:t xml:space="preserve"> </w:t>
      </w:r>
      <w:r w:rsidRPr="005C5438">
        <w:t>for these homes will then be calculated in the summary section of the model.</w:t>
      </w:r>
    </w:p>
    <w:p w14:paraId="53C6CD8F" w14:textId="2CD09AC2" w:rsidR="00D809E3" w:rsidRPr="005C5438" w:rsidRDefault="00D809E3" w:rsidP="00D809E3">
      <w:pPr>
        <w:rPr>
          <w:b/>
          <w:bCs/>
        </w:rPr>
      </w:pPr>
      <w:r w:rsidRPr="005C5438">
        <w:rPr>
          <w:b/>
          <w:bCs/>
        </w:rPr>
        <w:t>Audio (Adam Brown):</w:t>
      </w:r>
    </w:p>
    <w:p w14:paraId="6CBAADE4" w14:textId="1F2F6C8E" w:rsidR="009C638B" w:rsidRPr="005C5438" w:rsidRDefault="009C638B" w:rsidP="009C638B">
      <w:proofErr w:type="gramStart"/>
      <w:r w:rsidRPr="005C5438">
        <w:t>So</w:t>
      </w:r>
      <w:proofErr w:type="gramEnd"/>
      <w:r w:rsidRPr="005C5438">
        <w:t xml:space="preserve"> thank you all very much for your time today. Hopefully this session today and yesterday has been informative and helpful as you're thinking about putting in and constructing your applications.</w:t>
      </w:r>
    </w:p>
    <w:p w14:paraId="50ADF9D7" w14:textId="77777777" w:rsidR="009C638B" w:rsidRPr="005C5438" w:rsidRDefault="009C638B" w:rsidP="009C638B">
      <w:r w:rsidRPr="005C5438">
        <w:t>Thank you, everybody.</w:t>
      </w:r>
    </w:p>
    <w:p w14:paraId="7AFD4FB2" w14:textId="77777777" w:rsidR="00A331A3" w:rsidRPr="005C5438" w:rsidRDefault="00A331A3" w:rsidP="00A331A3">
      <w:pPr>
        <w:rPr>
          <w:b/>
          <w:bCs/>
        </w:rPr>
      </w:pPr>
      <w:r w:rsidRPr="005C5438">
        <w:rPr>
          <w:b/>
          <w:bCs/>
        </w:rPr>
        <w:t>On screen:</w:t>
      </w:r>
    </w:p>
    <w:p w14:paraId="62E748C9" w14:textId="77777777" w:rsidR="00A331A3" w:rsidRPr="00DC72B4" w:rsidRDefault="00A331A3" w:rsidP="00A331A3">
      <w:r w:rsidRPr="005C5438">
        <w:t xml:space="preserve">The screen changes to a white background with a blue diagonal pattern on the lower half. There is a website address </w:t>
      </w:r>
      <w:hyperlink r:id="rId12" w:history="1">
        <w:r w:rsidRPr="005C5438">
          <w:rPr>
            <w:rStyle w:val="Hyperlink"/>
          </w:rPr>
          <w:t>www.hud.govt.nz</w:t>
        </w:r>
      </w:hyperlink>
      <w:r w:rsidRPr="005C5438">
        <w:t xml:space="preserve"> and the Ministry and Government logos appear in the top right and top left corners.</w:t>
      </w:r>
    </w:p>
    <w:p w14:paraId="74E50DE4" w14:textId="7BA16DC6" w:rsidR="0072578A" w:rsidRDefault="0072578A" w:rsidP="00A331A3"/>
    <w:sectPr w:rsidR="0072578A">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19BB" w14:textId="77777777" w:rsidR="00C13891" w:rsidRDefault="00C13891" w:rsidP="009C638B">
      <w:pPr>
        <w:spacing w:after="0" w:line="240" w:lineRule="auto"/>
      </w:pPr>
      <w:r>
        <w:separator/>
      </w:r>
    </w:p>
  </w:endnote>
  <w:endnote w:type="continuationSeparator" w:id="0">
    <w:p w14:paraId="0FF0CF97" w14:textId="77777777" w:rsidR="00C13891" w:rsidRDefault="00C13891" w:rsidP="009C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Bold">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069" w14:textId="22B5839A" w:rsidR="009C638B" w:rsidRDefault="009C638B">
    <w:pPr>
      <w:pStyle w:val="Footer"/>
    </w:pPr>
    <w:r>
      <w:rPr>
        <w:noProof/>
      </w:rPr>
      <mc:AlternateContent>
        <mc:Choice Requires="wps">
          <w:drawing>
            <wp:anchor distT="0" distB="0" distL="0" distR="0" simplePos="0" relativeHeight="251658241" behindDoc="0" locked="0" layoutInCell="1" allowOverlap="1" wp14:anchorId="288662D8" wp14:editId="5AF9C3BC">
              <wp:simplePos x="635" y="635"/>
              <wp:positionH relativeFrom="page">
                <wp:align>center</wp:align>
              </wp:positionH>
              <wp:positionV relativeFrom="page">
                <wp:align>bottom</wp:align>
              </wp:positionV>
              <wp:extent cx="913130" cy="357505"/>
              <wp:effectExtent l="0" t="0" r="1270" b="0"/>
              <wp:wrapNone/>
              <wp:docPr id="705401605"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3130" cy="357505"/>
                      </a:xfrm>
                      <a:prstGeom prst="rect">
                        <a:avLst/>
                      </a:prstGeom>
                      <a:noFill/>
                      <a:ln>
                        <a:noFill/>
                      </a:ln>
                    </wps:spPr>
                    <wps:txbx>
                      <w:txbxContent>
                        <w:p w14:paraId="402BEFAC" w14:textId="70967BA3"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662D8" id="_x0000_t202" coordsize="21600,21600" o:spt="202" path="m,l,21600r21600,l21600,xe">
              <v:stroke joinstyle="miter"/>
              <v:path gradientshapeok="t" o:connecttype="rect"/>
            </v:shapetype>
            <v:shape id="Text Box 2" o:spid="_x0000_s1026" type="#_x0000_t202" alt="[UNCLASSIFIED]" style="position:absolute;margin-left:0;margin-top:0;width:71.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" filled="f" stroked="f">
              <v:fill o:detectmouseclick="t"/>
              <v:textbox style="mso-fit-shape-to-text:t" inset="0,0,0,15pt">
                <w:txbxContent>
                  <w:p w14:paraId="402BEFAC" w14:textId="70967BA3"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9427" w14:textId="6180C748" w:rsidR="009C638B" w:rsidRDefault="009C638B">
    <w:pPr>
      <w:pStyle w:val="Footer"/>
    </w:pPr>
    <w:r>
      <w:rPr>
        <w:noProof/>
      </w:rPr>
      <mc:AlternateContent>
        <mc:Choice Requires="wps">
          <w:drawing>
            <wp:anchor distT="0" distB="0" distL="0" distR="0" simplePos="0" relativeHeight="251658242" behindDoc="0" locked="0" layoutInCell="1" allowOverlap="1" wp14:anchorId="2469ED0D" wp14:editId="0F235445">
              <wp:simplePos x="635" y="635"/>
              <wp:positionH relativeFrom="page">
                <wp:align>center</wp:align>
              </wp:positionH>
              <wp:positionV relativeFrom="page">
                <wp:align>bottom</wp:align>
              </wp:positionV>
              <wp:extent cx="913130" cy="357505"/>
              <wp:effectExtent l="0" t="0" r="1270" b="0"/>
              <wp:wrapNone/>
              <wp:docPr id="932852645"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3130" cy="357505"/>
                      </a:xfrm>
                      <a:prstGeom prst="rect">
                        <a:avLst/>
                      </a:prstGeom>
                      <a:noFill/>
                      <a:ln>
                        <a:noFill/>
                      </a:ln>
                    </wps:spPr>
                    <wps:txbx>
                      <w:txbxContent>
                        <w:p w14:paraId="6962F94E" w14:textId="1503264A"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9ED0D" id="_x0000_t202" coordsize="21600,21600" o:spt="202" path="m,l,21600r21600,l21600,xe">
              <v:stroke joinstyle="miter"/>
              <v:path gradientshapeok="t" o:connecttype="rect"/>
            </v:shapetype>
            <v:shape id="Text Box 3" o:spid="_x0000_s1027" type="#_x0000_t202" alt="[UNCLASSIFIED]" style="position:absolute;margin-left:0;margin-top:0;width:71.9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" filled="f" stroked="f">
              <v:fill o:detectmouseclick="t"/>
              <v:textbox style="mso-fit-shape-to-text:t" inset="0,0,0,15pt">
                <w:txbxContent>
                  <w:p w14:paraId="6962F94E" w14:textId="1503264A"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45BB" w14:textId="72F1FB55" w:rsidR="009C638B" w:rsidRDefault="009C638B">
    <w:pPr>
      <w:pStyle w:val="Footer"/>
    </w:pPr>
    <w:r>
      <w:rPr>
        <w:noProof/>
      </w:rPr>
      <mc:AlternateContent>
        <mc:Choice Requires="wps">
          <w:drawing>
            <wp:anchor distT="0" distB="0" distL="0" distR="0" simplePos="0" relativeHeight="251658240" behindDoc="0" locked="0" layoutInCell="1" allowOverlap="1" wp14:anchorId="4843EDCE" wp14:editId="7AC96A47">
              <wp:simplePos x="635" y="635"/>
              <wp:positionH relativeFrom="page">
                <wp:align>center</wp:align>
              </wp:positionH>
              <wp:positionV relativeFrom="page">
                <wp:align>bottom</wp:align>
              </wp:positionV>
              <wp:extent cx="913130" cy="357505"/>
              <wp:effectExtent l="0" t="0" r="1270" b="0"/>
              <wp:wrapNone/>
              <wp:docPr id="1124450466"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3130" cy="357505"/>
                      </a:xfrm>
                      <a:prstGeom prst="rect">
                        <a:avLst/>
                      </a:prstGeom>
                      <a:noFill/>
                      <a:ln>
                        <a:noFill/>
                      </a:ln>
                    </wps:spPr>
                    <wps:txbx>
                      <w:txbxContent>
                        <w:p w14:paraId="09A8489C" w14:textId="17F6387B"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3EDCE" id="_x0000_t202" coordsize="21600,21600" o:spt="202" path="m,l,21600r21600,l21600,xe">
              <v:stroke joinstyle="miter"/>
              <v:path gradientshapeok="t" o:connecttype="rect"/>
            </v:shapetype>
            <v:shape id="Text Box 1" o:spid="_x0000_s1028" type="#_x0000_t202" alt="[UNCLASSIFIED]" style="position:absolute;margin-left:0;margin-top:0;width:71.9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" filled="f" stroked="f">
              <v:fill o:detectmouseclick="t"/>
              <v:textbox style="mso-fit-shape-to-text:t" inset="0,0,0,15pt">
                <w:txbxContent>
                  <w:p w14:paraId="09A8489C" w14:textId="17F6387B" w:rsidR="009C638B" w:rsidRPr="009C638B" w:rsidRDefault="009C638B" w:rsidP="009C638B">
                    <w:pPr>
                      <w:spacing w:after="0"/>
                      <w:rPr>
                        <w:rFonts w:ascii="Aptos" w:eastAsia="Aptos" w:hAnsi="Aptos" w:cs="Aptos"/>
                        <w:noProof/>
                        <w:color w:val="000000"/>
                        <w:sz w:val="20"/>
                        <w:szCs w:val="20"/>
                      </w:rPr>
                    </w:pPr>
                    <w:r w:rsidRPr="009C638B">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AF3E" w14:textId="77777777" w:rsidR="00C13891" w:rsidRDefault="00C13891" w:rsidP="009C638B">
      <w:pPr>
        <w:spacing w:after="0" w:line="240" w:lineRule="auto"/>
      </w:pPr>
      <w:r>
        <w:separator/>
      </w:r>
    </w:p>
  </w:footnote>
  <w:footnote w:type="continuationSeparator" w:id="0">
    <w:p w14:paraId="6785E898" w14:textId="77777777" w:rsidR="00C13891" w:rsidRDefault="00C13891" w:rsidP="009C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E72072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216F9C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6683F0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6A08D8"/>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0349D2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777567E"/>
    <w:multiLevelType w:val="multilevel"/>
    <w:tmpl w:val="E60CD86E"/>
    <w:styleLink w:val="HUDList"/>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tabs>
          <w:tab w:val="num" w:pos="2835"/>
        </w:tabs>
        <w:ind w:left="2160" w:hanging="720"/>
      </w:pPr>
      <w:rPr>
        <w:rFonts w:hint="default"/>
      </w:rPr>
    </w:lvl>
    <w:lvl w:ilvl="3">
      <w:start w:val="1"/>
      <w:numFmt w:val="decimal"/>
      <w:lvlText w:val="%4."/>
      <w:lvlJc w:val="left"/>
      <w:pPr>
        <w:tabs>
          <w:tab w:val="num" w:pos="4995"/>
        </w:tabs>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AE7ED9"/>
    <w:multiLevelType w:val="multilevel"/>
    <w:tmpl w:val="8150711A"/>
    <w:styleLink w:val="HUDRecommended"/>
    <w:lvl w:ilvl="0">
      <w:start w:val="1"/>
      <w:numFmt w:val="lowerRoman"/>
      <w:lvlText w:val="%1"/>
      <w:lvlJc w:val="left"/>
      <w:pPr>
        <w:ind w:left="720" w:hanging="720"/>
      </w:pPr>
      <w:rPr>
        <w:rFonts w:hint="default"/>
      </w:rPr>
    </w:lvl>
    <w:lvl w:ilvl="1">
      <w:start w:val="1"/>
      <w:numFmt w:val="none"/>
      <w:lvlText w:val="1."/>
      <w:lvlJc w:val="left"/>
      <w:pPr>
        <w:ind w:left="1440" w:hanging="720"/>
      </w:pPr>
      <w:rPr>
        <w:rFonts w:hint="default"/>
      </w:rPr>
    </w:lvl>
    <w:lvl w:ilvl="2">
      <w:start w:val="1"/>
      <w:numFmt w:val="none"/>
      <w:lvlText w:val="1.1"/>
      <w:lvlJc w:val="left"/>
      <w:pPr>
        <w:ind w:left="2160" w:hanging="720"/>
      </w:pPr>
      <w:rPr>
        <w:rFonts w:hint="default"/>
      </w:rPr>
    </w:lvl>
    <w:lvl w:ilvl="3">
      <w:start w:val="1"/>
      <w:numFmt w:val="none"/>
      <w:lvlText w:val="1.1.1"/>
      <w:lvlJc w:val="left"/>
      <w:pPr>
        <w:ind w:left="2880" w:hanging="720"/>
      </w:pPr>
      <w:rPr>
        <w:rFonts w:hint="default"/>
      </w:rPr>
    </w:lvl>
    <w:lvl w:ilvl="4">
      <w:start w:val="1"/>
      <w:numFmt w:val="none"/>
      <w:lvlText w:val="a."/>
      <w:lvlJc w:val="left"/>
      <w:pPr>
        <w:ind w:left="3600" w:hanging="720"/>
      </w:pPr>
      <w:rPr>
        <w:rFonts w:hint="default"/>
      </w:rPr>
    </w:lvl>
    <w:lvl w:ilvl="5">
      <w:start w:val="1"/>
      <w:numFmt w:val="none"/>
      <w:lvlText w:val="i."/>
      <w:lvlJc w:val="left"/>
      <w:pPr>
        <w:ind w:left="4320" w:hanging="720"/>
      </w:pPr>
      <w:rPr>
        <w:rFonts w:hint="default"/>
      </w:rPr>
    </w:lvl>
    <w:lvl w:ilvl="6">
      <w:start w:val="1"/>
      <w:numFmt w:val="none"/>
      <w:lvlText w:val="a."/>
      <w:lvlJc w:val="left"/>
      <w:pPr>
        <w:ind w:left="5040" w:hanging="720"/>
      </w:pPr>
      <w:rPr>
        <w:rFonts w:hint="default"/>
      </w:rPr>
    </w:lvl>
    <w:lvl w:ilvl="7">
      <w:start w:val="1"/>
      <w:numFmt w:val="none"/>
      <w:lvlText w:val="1."/>
      <w:lvlJc w:val="left"/>
      <w:pPr>
        <w:ind w:left="5760" w:hanging="720"/>
      </w:pPr>
      <w:rPr>
        <w:rFonts w:hint="default"/>
      </w:rPr>
    </w:lvl>
    <w:lvl w:ilvl="8">
      <w:start w:val="1"/>
      <w:numFmt w:val="none"/>
      <w:lvlText w:val="a."/>
      <w:lvlJc w:val="left"/>
      <w:pPr>
        <w:ind w:left="6480" w:hanging="720"/>
      </w:pPr>
      <w:rPr>
        <w:rFonts w:hint="default"/>
      </w:rPr>
    </w:lvl>
  </w:abstractNum>
  <w:abstractNum w:abstractNumId="7" w15:restartNumberingAfterBreak="0">
    <w:nsid w:val="34531B21"/>
    <w:multiLevelType w:val="multilevel"/>
    <w:tmpl w:val="8446F07A"/>
    <w:lvl w:ilvl="0">
      <w:start w:val="1"/>
      <w:numFmt w:val="decimal"/>
      <w:pStyle w:val="HUDList0"/>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5D714F3"/>
    <w:multiLevelType w:val="multilevel"/>
    <w:tmpl w:val="1D2A4E6E"/>
    <w:styleLink w:val="HUDCabinetList"/>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hAnsi="Times New Roman" w:hint="default"/>
      </w:rPr>
    </w:lvl>
    <w:lvl w:ilvl="4">
      <w:start w:val="1"/>
      <w:numFmt w:val="lowerRoman"/>
      <w:lvlText w:val="%5."/>
      <w:lvlJc w:val="left"/>
      <w:pPr>
        <w:ind w:left="3600" w:hanging="720"/>
      </w:pPr>
      <w:rPr>
        <w:rFonts w:ascii="Times New Roman" w:hAnsi="Times New Roman" w:hint="default"/>
      </w:rPr>
    </w:lvl>
    <w:lvl w:ilvl="5">
      <w:start w:val="1"/>
      <w:numFmt w:val="lowerLetter"/>
      <w:lvlText w:val="%6."/>
      <w:lvlJc w:val="left"/>
      <w:pPr>
        <w:ind w:left="4320" w:hanging="720"/>
      </w:pPr>
      <w:rPr>
        <w:rFonts w:ascii="Times New Roman" w:hAnsi="Times New Roman" w:hint="default"/>
      </w:rPr>
    </w:lvl>
    <w:lvl w:ilvl="6">
      <w:start w:val="1"/>
      <w:numFmt w:val="lowerRoman"/>
      <w:lvlText w:val="%7."/>
      <w:lvlJc w:val="left"/>
      <w:pPr>
        <w:ind w:left="5040" w:hanging="720"/>
      </w:pPr>
      <w:rPr>
        <w:rFonts w:ascii="Times New Roman" w:hAnsi="Times New Roman" w:hint="default"/>
      </w:rPr>
    </w:lvl>
    <w:lvl w:ilvl="7">
      <w:start w:val="1"/>
      <w:numFmt w:val="lowerLetter"/>
      <w:lvlText w:val="%8."/>
      <w:lvlJc w:val="left"/>
      <w:pPr>
        <w:ind w:left="5760" w:hanging="720"/>
      </w:pPr>
      <w:rPr>
        <w:rFonts w:ascii="Times New Roman" w:hAnsi="Times New Roman" w:hint="default"/>
      </w:rPr>
    </w:lvl>
    <w:lvl w:ilvl="8">
      <w:start w:val="1"/>
      <w:numFmt w:val="lowerRoman"/>
      <w:lvlText w:val="%9."/>
      <w:lvlJc w:val="left"/>
      <w:pPr>
        <w:ind w:left="6480" w:hanging="720"/>
      </w:pPr>
      <w:rPr>
        <w:rFonts w:ascii="Times New Roman" w:hAnsi="Times New Roman" w:hint="default"/>
      </w:rPr>
    </w:lvl>
  </w:abstractNum>
  <w:abstractNum w:abstractNumId="9" w15:restartNumberingAfterBreak="0">
    <w:nsid w:val="6E3E103E"/>
    <w:multiLevelType w:val="hybridMultilevel"/>
    <w:tmpl w:val="B888BE54"/>
    <w:lvl w:ilvl="0" w:tplc="065A009A">
      <w:start w:val="1"/>
      <w:numFmt w:val="bullet"/>
      <w:pStyle w:val="HUD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D1A9E"/>
    <w:multiLevelType w:val="multilevel"/>
    <w:tmpl w:val="FB847B24"/>
    <w:styleLink w:val="HUDBulletList"/>
    <w:lvl w:ilvl="0">
      <w:start w:val="1"/>
      <w:numFmt w:val="bullet"/>
      <w:lvlText w:val=""/>
      <w:lvlJc w:val="left"/>
      <w:pPr>
        <w:ind w:left="720" w:hanging="720"/>
      </w:pPr>
      <w:rPr>
        <w:rFonts w:ascii="Symbol" w:hAnsi="Symbol" w:hint="default"/>
        <w:color w:val="auto"/>
      </w:rPr>
    </w:lvl>
    <w:lvl w:ilvl="1">
      <w:start w:val="1"/>
      <w:numFmt w:val="bullet"/>
      <w:lvlText w:val="o"/>
      <w:lvlJc w:val="left"/>
      <w:pPr>
        <w:ind w:left="1440" w:hanging="720"/>
      </w:pPr>
      <w:rPr>
        <w:rFonts w:ascii="Courier New" w:hAnsi="Courier New" w:hint="default"/>
        <w:color w:val="auto"/>
      </w:rPr>
    </w:lvl>
    <w:lvl w:ilvl="2">
      <w:start w:val="1"/>
      <w:numFmt w:val="bullet"/>
      <w:lvlText w:val=""/>
      <w:lvlJc w:val="left"/>
      <w:pPr>
        <w:tabs>
          <w:tab w:val="num" w:pos="1440"/>
        </w:tabs>
        <w:ind w:left="2160" w:hanging="720"/>
      </w:pPr>
      <w:rPr>
        <w:rFonts w:ascii="Wingdings" w:hAnsi="Wingdings" w:hint="default"/>
      </w:rPr>
    </w:lvl>
    <w:lvl w:ilvl="3">
      <w:start w:val="1"/>
      <w:numFmt w:val="bullet"/>
      <w:lvlText w:val=""/>
      <w:lvlJc w:val="left"/>
      <w:pPr>
        <w:tabs>
          <w:tab w:val="num" w:pos="2160"/>
        </w:tabs>
        <w:ind w:left="2880" w:hanging="720"/>
      </w:pPr>
      <w:rPr>
        <w:rFonts w:ascii="Wingdings" w:hAnsi="Wingdings" w:hint="default"/>
      </w:rPr>
    </w:lvl>
    <w:lvl w:ilvl="4">
      <w:start w:val="1"/>
      <w:numFmt w:val="bullet"/>
      <w:lvlText w:val=""/>
      <w:lvlJc w:val="left"/>
      <w:pPr>
        <w:tabs>
          <w:tab w:val="num" w:pos="2880"/>
        </w:tabs>
        <w:ind w:left="3600" w:hanging="720"/>
      </w:pPr>
      <w:rPr>
        <w:rFonts w:ascii="Symbol" w:hAnsi="Symbol" w:hint="default"/>
        <w:color w:val="auto"/>
      </w:rPr>
    </w:lvl>
    <w:lvl w:ilvl="5">
      <w:start w:val="1"/>
      <w:numFmt w:val="bullet"/>
      <w:lvlText w:val=""/>
      <w:lvlJc w:val="left"/>
      <w:pPr>
        <w:tabs>
          <w:tab w:val="num" w:pos="3600"/>
        </w:tabs>
        <w:ind w:left="4320" w:hanging="720"/>
      </w:pPr>
      <w:rPr>
        <w:rFonts w:ascii="Symbol" w:hAnsi="Symbol" w:hint="default"/>
        <w:color w:val="auto"/>
      </w:rPr>
    </w:lvl>
    <w:lvl w:ilvl="6">
      <w:start w:val="1"/>
      <w:numFmt w:val="bullet"/>
      <w:lvlText w:val=""/>
      <w:lvlJc w:val="left"/>
      <w:pPr>
        <w:tabs>
          <w:tab w:val="num" w:pos="4321"/>
        </w:tabs>
        <w:ind w:left="5040" w:hanging="720"/>
      </w:pPr>
      <w:rPr>
        <w:rFonts w:ascii="Symbol" w:hAnsi="Symbol" w:hint="default"/>
        <w:color w:val="auto"/>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891260085">
    <w:abstractNumId w:val="10"/>
  </w:num>
  <w:num w:numId="2" w16cid:durableId="783886764">
    <w:abstractNumId w:val="8"/>
  </w:num>
  <w:num w:numId="3" w16cid:durableId="1850102127">
    <w:abstractNumId w:val="5"/>
  </w:num>
  <w:num w:numId="4" w16cid:durableId="1708486938">
    <w:abstractNumId w:val="6"/>
  </w:num>
  <w:num w:numId="5" w16cid:durableId="1283995497">
    <w:abstractNumId w:val="9"/>
  </w:num>
  <w:num w:numId="6" w16cid:durableId="1754888601">
    <w:abstractNumId w:val="7"/>
  </w:num>
  <w:num w:numId="7" w16cid:durableId="1395857233">
    <w:abstractNumId w:val="4"/>
  </w:num>
  <w:num w:numId="8" w16cid:durableId="639769766">
    <w:abstractNumId w:val="4"/>
  </w:num>
  <w:num w:numId="9" w16cid:durableId="883521219">
    <w:abstractNumId w:val="3"/>
  </w:num>
  <w:num w:numId="10" w16cid:durableId="1041899948">
    <w:abstractNumId w:val="3"/>
  </w:num>
  <w:num w:numId="11" w16cid:durableId="703750461">
    <w:abstractNumId w:val="2"/>
  </w:num>
  <w:num w:numId="12" w16cid:durableId="617101633">
    <w:abstractNumId w:val="2"/>
  </w:num>
  <w:num w:numId="13" w16cid:durableId="1611929804">
    <w:abstractNumId w:val="1"/>
  </w:num>
  <w:num w:numId="14" w16cid:durableId="1881672253">
    <w:abstractNumId w:val="1"/>
  </w:num>
  <w:num w:numId="15" w16cid:durableId="1544445389">
    <w:abstractNumId w:val="0"/>
  </w:num>
  <w:num w:numId="16" w16cid:durableId="17191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8B"/>
    <w:rsid w:val="0003620B"/>
    <w:rsid w:val="000D4D10"/>
    <w:rsid w:val="000D70BF"/>
    <w:rsid w:val="000E4373"/>
    <w:rsid w:val="0012743B"/>
    <w:rsid w:val="0017529E"/>
    <w:rsid w:val="00231C87"/>
    <w:rsid w:val="00283138"/>
    <w:rsid w:val="00323E94"/>
    <w:rsid w:val="003279E7"/>
    <w:rsid w:val="0033499E"/>
    <w:rsid w:val="0035389C"/>
    <w:rsid w:val="0036362C"/>
    <w:rsid w:val="003F4619"/>
    <w:rsid w:val="00411544"/>
    <w:rsid w:val="004B5398"/>
    <w:rsid w:val="004D5A7D"/>
    <w:rsid w:val="005403A5"/>
    <w:rsid w:val="005C5438"/>
    <w:rsid w:val="005C6BC9"/>
    <w:rsid w:val="006276CD"/>
    <w:rsid w:val="00660490"/>
    <w:rsid w:val="0072578A"/>
    <w:rsid w:val="00760CCE"/>
    <w:rsid w:val="008733AE"/>
    <w:rsid w:val="00903E13"/>
    <w:rsid w:val="009427DE"/>
    <w:rsid w:val="009A352B"/>
    <w:rsid w:val="009A4BC2"/>
    <w:rsid w:val="009B4856"/>
    <w:rsid w:val="009C638B"/>
    <w:rsid w:val="009D4E07"/>
    <w:rsid w:val="00A331A3"/>
    <w:rsid w:val="00A54715"/>
    <w:rsid w:val="00A648C5"/>
    <w:rsid w:val="00AB29C6"/>
    <w:rsid w:val="00AC57E3"/>
    <w:rsid w:val="00BB50D8"/>
    <w:rsid w:val="00C13891"/>
    <w:rsid w:val="00C85169"/>
    <w:rsid w:val="00C9203B"/>
    <w:rsid w:val="00C95E8C"/>
    <w:rsid w:val="00D503C8"/>
    <w:rsid w:val="00D62F77"/>
    <w:rsid w:val="00D809E3"/>
    <w:rsid w:val="00DC4D82"/>
    <w:rsid w:val="00E53306"/>
    <w:rsid w:val="00E80981"/>
    <w:rsid w:val="00E92B2E"/>
    <w:rsid w:val="00EA2DEE"/>
    <w:rsid w:val="00F11682"/>
    <w:rsid w:val="00F711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129C"/>
  <w15:chartTrackingRefBased/>
  <w15:docId w15:val="{5930B71F-CC2E-4FAA-8A16-A2FC7231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E7"/>
    <w:pPr>
      <w:spacing w:line="259" w:lineRule="auto"/>
    </w:pPr>
    <w:rPr>
      <w:lang w:val="en-NZ"/>
    </w:rPr>
  </w:style>
  <w:style w:type="paragraph" w:styleId="Heading1">
    <w:name w:val="heading 1"/>
    <w:basedOn w:val="Normal"/>
    <w:next w:val="Normal"/>
    <w:link w:val="Heading1Char"/>
    <w:uiPriority w:val="9"/>
    <w:qFormat/>
    <w:rsid w:val="003279E7"/>
    <w:pPr>
      <w:keepNext/>
      <w:keepLines/>
      <w:spacing w:before="360"/>
      <w:outlineLvl w:val="0"/>
    </w:pPr>
    <w:rPr>
      <w:rFonts w:asciiTheme="majorHAnsi" w:eastAsiaTheme="majorEastAsia" w:hAnsiTheme="majorHAnsi" w:cstheme="majorBidi"/>
      <w:color w:val="003E52" w:themeColor="text2"/>
      <w:sz w:val="28"/>
      <w:szCs w:val="40"/>
    </w:rPr>
  </w:style>
  <w:style w:type="paragraph" w:styleId="Heading2">
    <w:name w:val="heading 2"/>
    <w:basedOn w:val="Normal"/>
    <w:next w:val="Normal"/>
    <w:link w:val="Heading2Char"/>
    <w:uiPriority w:val="9"/>
    <w:unhideWhenUsed/>
    <w:qFormat/>
    <w:rsid w:val="003279E7"/>
    <w:pPr>
      <w:keepNext/>
      <w:keepLines/>
      <w:spacing w:before="360"/>
      <w:outlineLvl w:val="1"/>
    </w:pPr>
    <w:rPr>
      <w:rFonts w:eastAsiaTheme="majorEastAsia" w:cstheme="majorBidi"/>
      <w:color w:val="003E52" w:themeColor="text2"/>
      <w:sz w:val="28"/>
      <w:szCs w:val="32"/>
    </w:rPr>
  </w:style>
  <w:style w:type="paragraph" w:styleId="Heading3">
    <w:name w:val="heading 3"/>
    <w:basedOn w:val="Normal"/>
    <w:next w:val="Normal"/>
    <w:link w:val="Heading3Char"/>
    <w:uiPriority w:val="9"/>
    <w:unhideWhenUsed/>
    <w:qFormat/>
    <w:rsid w:val="003279E7"/>
    <w:pPr>
      <w:keepNext/>
      <w:keepLines/>
      <w:spacing w:after="80"/>
      <w:outlineLvl w:val="2"/>
    </w:pPr>
    <w:rPr>
      <w:rFonts w:asciiTheme="majorHAnsi" w:eastAsiaTheme="majorEastAsia" w:hAnsiTheme="majorHAnsi" w:cstheme="majorBidi"/>
      <w:b/>
      <w:color w:val="003E52" w:themeColor="text2"/>
      <w:szCs w:val="28"/>
    </w:rPr>
  </w:style>
  <w:style w:type="paragraph" w:styleId="Heading4">
    <w:name w:val="heading 4"/>
    <w:basedOn w:val="Normal"/>
    <w:next w:val="Normal"/>
    <w:link w:val="Heading4Char"/>
    <w:uiPriority w:val="9"/>
    <w:unhideWhenUsed/>
    <w:qFormat/>
    <w:rsid w:val="003279E7"/>
    <w:pPr>
      <w:keepNext/>
      <w:keepLines/>
      <w:spacing w:before="80" w:after="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3279E7"/>
    <w:pPr>
      <w:keepNext/>
      <w:keepLines/>
      <w:spacing w:before="80" w:after="40"/>
      <w:outlineLvl w:val="4"/>
    </w:pPr>
    <w:rPr>
      <w:rFonts w:eastAsiaTheme="majorEastAsia" w:cstheme="majorBidi"/>
      <w:b/>
      <w:color w:val="1290ED" w:themeColor="accent1" w:themeShade="BF"/>
    </w:rPr>
  </w:style>
  <w:style w:type="paragraph" w:styleId="Heading6">
    <w:name w:val="heading 6"/>
    <w:basedOn w:val="Normal"/>
    <w:next w:val="Normal"/>
    <w:link w:val="Heading6Char"/>
    <w:uiPriority w:val="9"/>
    <w:semiHidden/>
    <w:unhideWhenUsed/>
    <w:qFormat/>
    <w:rsid w:val="003279E7"/>
    <w:pPr>
      <w:keepNext/>
      <w:keepLines/>
      <w:spacing w:before="40" w:after="0"/>
      <w:outlineLvl w:val="5"/>
    </w:pPr>
    <w:rPr>
      <w:rFonts w:eastAsiaTheme="majorEastAsia" w:cstheme="majorBidi"/>
      <w:b/>
      <w:iCs/>
      <w:color w:val="0C609E" w:themeColor="accent1" w:themeShade="80"/>
    </w:rPr>
  </w:style>
  <w:style w:type="paragraph" w:styleId="Heading7">
    <w:name w:val="heading 7"/>
    <w:basedOn w:val="Normal"/>
    <w:next w:val="Normal"/>
    <w:link w:val="Heading7Char"/>
    <w:uiPriority w:val="9"/>
    <w:semiHidden/>
    <w:unhideWhenUsed/>
    <w:qFormat/>
    <w:rsid w:val="003279E7"/>
    <w:pPr>
      <w:keepNext/>
      <w:keepLines/>
      <w:spacing w:before="40" w:after="0"/>
      <w:outlineLvl w:val="6"/>
    </w:pPr>
    <w:rPr>
      <w:rFonts w:eastAsiaTheme="majorEastAsia" w:cstheme="majorBidi"/>
      <w:b/>
      <w:i/>
      <w:color w:val="0C609E" w:themeColor="accent1" w:themeShade="80"/>
    </w:rPr>
  </w:style>
  <w:style w:type="paragraph" w:styleId="Heading8">
    <w:name w:val="heading 8"/>
    <w:basedOn w:val="Normal"/>
    <w:next w:val="Normal"/>
    <w:link w:val="Heading8Char"/>
    <w:uiPriority w:val="9"/>
    <w:semiHidden/>
    <w:unhideWhenUsed/>
    <w:qFormat/>
    <w:rsid w:val="003279E7"/>
    <w:pPr>
      <w:keepNext/>
      <w:keepLines/>
      <w:spacing w:after="0"/>
      <w:outlineLvl w:val="7"/>
    </w:pPr>
    <w:rPr>
      <w:rFonts w:eastAsiaTheme="majorEastAsia" w:cstheme="majorBidi"/>
      <w:b/>
      <w:iCs/>
      <w:color w:val="272727" w:themeColor="text1" w:themeTint="D8"/>
      <w:sz w:val="21"/>
    </w:rPr>
  </w:style>
  <w:style w:type="paragraph" w:styleId="Heading9">
    <w:name w:val="heading 9"/>
    <w:basedOn w:val="Normal"/>
    <w:next w:val="Normal"/>
    <w:link w:val="Heading9Char"/>
    <w:uiPriority w:val="9"/>
    <w:semiHidden/>
    <w:unhideWhenUsed/>
    <w:qFormat/>
    <w:rsid w:val="003279E7"/>
    <w:pPr>
      <w:keepNext/>
      <w:keepLines/>
      <w:spacing w:after="0"/>
      <w:outlineLvl w:val="8"/>
    </w:pPr>
    <w:rPr>
      <w:rFonts w:eastAsiaTheme="majorEastAsia" w:cstheme="majorBidi"/>
      <w:b/>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E7"/>
    <w:rPr>
      <w:rFonts w:asciiTheme="majorHAnsi" w:eastAsiaTheme="majorEastAsia" w:hAnsiTheme="majorHAnsi" w:cstheme="majorBidi"/>
      <w:color w:val="003E52" w:themeColor="text2"/>
      <w:sz w:val="28"/>
      <w:szCs w:val="40"/>
      <w:lang w:val="en-NZ"/>
    </w:rPr>
  </w:style>
  <w:style w:type="character" w:customStyle="1" w:styleId="Heading2Char">
    <w:name w:val="Heading 2 Char"/>
    <w:basedOn w:val="DefaultParagraphFont"/>
    <w:link w:val="Heading2"/>
    <w:uiPriority w:val="9"/>
    <w:rsid w:val="003279E7"/>
    <w:rPr>
      <w:rFonts w:eastAsiaTheme="majorEastAsia" w:cstheme="majorBidi"/>
      <w:color w:val="003E52" w:themeColor="text2"/>
      <w:sz w:val="28"/>
      <w:szCs w:val="32"/>
      <w:lang w:val="en-NZ"/>
    </w:rPr>
  </w:style>
  <w:style w:type="character" w:customStyle="1" w:styleId="Heading3Char">
    <w:name w:val="Heading 3 Char"/>
    <w:basedOn w:val="DefaultParagraphFont"/>
    <w:link w:val="Heading3"/>
    <w:uiPriority w:val="9"/>
    <w:rsid w:val="003279E7"/>
    <w:rPr>
      <w:rFonts w:asciiTheme="majorHAnsi" w:eastAsiaTheme="majorEastAsia" w:hAnsiTheme="majorHAnsi" w:cstheme="majorBidi"/>
      <w:b/>
      <w:color w:val="003E52" w:themeColor="text2"/>
      <w:szCs w:val="28"/>
      <w:lang w:val="en-NZ"/>
    </w:rPr>
  </w:style>
  <w:style w:type="character" w:customStyle="1" w:styleId="Heading4Char">
    <w:name w:val="Heading 4 Char"/>
    <w:basedOn w:val="DefaultParagraphFont"/>
    <w:link w:val="Heading4"/>
    <w:uiPriority w:val="9"/>
    <w:rsid w:val="003279E7"/>
    <w:rPr>
      <w:rFonts w:asciiTheme="majorHAnsi" w:eastAsiaTheme="majorEastAsia" w:hAnsiTheme="majorHAnsi" w:cstheme="majorBidi"/>
      <w:b/>
      <w:iCs/>
      <w:lang w:val="en-NZ"/>
    </w:rPr>
  </w:style>
  <w:style w:type="character" w:customStyle="1" w:styleId="Heading5Char">
    <w:name w:val="Heading 5 Char"/>
    <w:basedOn w:val="DefaultParagraphFont"/>
    <w:link w:val="Heading5"/>
    <w:uiPriority w:val="9"/>
    <w:semiHidden/>
    <w:rsid w:val="003279E7"/>
    <w:rPr>
      <w:rFonts w:eastAsiaTheme="majorEastAsia" w:cstheme="majorBidi"/>
      <w:b/>
      <w:color w:val="1290ED" w:themeColor="accent1" w:themeShade="BF"/>
      <w:lang w:val="en-NZ"/>
    </w:rPr>
  </w:style>
  <w:style w:type="character" w:customStyle="1" w:styleId="Heading6Char">
    <w:name w:val="Heading 6 Char"/>
    <w:basedOn w:val="DefaultParagraphFont"/>
    <w:link w:val="Heading6"/>
    <w:uiPriority w:val="9"/>
    <w:semiHidden/>
    <w:rsid w:val="003279E7"/>
    <w:rPr>
      <w:rFonts w:eastAsiaTheme="majorEastAsia" w:cstheme="majorBidi"/>
      <w:b/>
      <w:iCs/>
      <w:color w:val="0C609E" w:themeColor="accent1" w:themeShade="80"/>
      <w:lang w:val="en-NZ"/>
    </w:rPr>
  </w:style>
  <w:style w:type="character" w:customStyle="1" w:styleId="Heading7Char">
    <w:name w:val="Heading 7 Char"/>
    <w:basedOn w:val="DefaultParagraphFont"/>
    <w:link w:val="Heading7"/>
    <w:uiPriority w:val="9"/>
    <w:semiHidden/>
    <w:rsid w:val="003279E7"/>
    <w:rPr>
      <w:rFonts w:eastAsiaTheme="majorEastAsia" w:cstheme="majorBidi"/>
      <w:b/>
      <w:i/>
      <w:color w:val="0C609E" w:themeColor="accent1" w:themeShade="80"/>
      <w:lang w:val="en-NZ"/>
    </w:rPr>
  </w:style>
  <w:style w:type="character" w:customStyle="1" w:styleId="Heading8Char">
    <w:name w:val="Heading 8 Char"/>
    <w:basedOn w:val="DefaultParagraphFont"/>
    <w:link w:val="Heading8"/>
    <w:uiPriority w:val="9"/>
    <w:semiHidden/>
    <w:rsid w:val="003279E7"/>
    <w:rPr>
      <w:rFonts w:eastAsiaTheme="majorEastAsia" w:cstheme="majorBidi"/>
      <w:b/>
      <w:iCs/>
      <w:color w:val="272727" w:themeColor="text1" w:themeTint="D8"/>
      <w:sz w:val="21"/>
      <w:lang w:val="en-NZ"/>
    </w:rPr>
  </w:style>
  <w:style w:type="character" w:customStyle="1" w:styleId="Heading9Char">
    <w:name w:val="Heading 9 Char"/>
    <w:basedOn w:val="DefaultParagraphFont"/>
    <w:link w:val="Heading9"/>
    <w:uiPriority w:val="9"/>
    <w:semiHidden/>
    <w:rsid w:val="003279E7"/>
    <w:rPr>
      <w:rFonts w:eastAsiaTheme="majorEastAsia" w:cstheme="majorBidi"/>
      <w:b/>
      <w:i/>
      <w:color w:val="272727" w:themeColor="text1" w:themeTint="D8"/>
      <w:sz w:val="21"/>
      <w:lang w:val="en-NZ"/>
    </w:rPr>
  </w:style>
  <w:style w:type="paragraph" w:styleId="Title">
    <w:name w:val="Title"/>
    <w:basedOn w:val="Normal"/>
    <w:next w:val="Normal"/>
    <w:link w:val="TitleChar"/>
    <w:uiPriority w:val="2"/>
    <w:qFormat/>
    <w:rsid w:val="003279E7"/>
    <w:pPr>
      <w:spacing w:after="80" w:line="240" w:lineRule="auto"/>
      <w:contextualSpacing/>
    </w:pPr>
    <w:rPr>
      <w:rFonts w:asciiTheme="majorHAnsi" w:eastAsiaTheme="majorEastAsia" w:hAnsiTheme="majorHAnsi" w:cstheme="majorBidi"/>
      <w:color w:val="003E52" w:themeColor="text2"/>
      <w:spacing w:val="-10"/>
      <w:kern w:val="28"/>
      <w:sz w:val="48"/>
      <w:szCs w:val="56"/>
    </w:rPr>
  </w:style>
  <w:style w:type="character" w:customStyle="1" w:styleId="TitleChar">
    <w:name w:val="Title Char"/>
    <w:basedOn w:val="DefaultParagraphFont"/>
    <w:link w:val="Title"/>
    <w:uiPriority w:val="2"/>
    <w:rsid w:val="003279E7"/>
    <w:rPr>
      <w:rFonts w:asciiTheme="majorHAnsi" w:eastAsiaTheme="majorEastAsia" w:hAnsiTheme="majorHAnsi" w:cstheme="majorBidi"/>
      <w:color w:val="003E52" w:themeColor="text2"/>
      <w:spacing w:val="-10"/>
      <w:kern w:val="28"/>
      <w:sz w:val="48"/>
      <w:szCs w:val="56"/>
      <w:lang w:val="en-NZ"/>
    </w:rPr>
  </w:style>
  <w:style w:type="paragraph" w:styleId="Subtitle">
    <w:name w:val="Subtitle"/>
    <w:basedOn w:val="Normal"/>
    <w:next w:val="Normal"/>
    <w:link w:val="SubtitleChar"/>
    <w:uiPriority w:val="11"/>
    <w:qFormat/>
    <w:rsid w:val="00327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9E7"/>
    <w:pPr>
      <w:spacing w:before="160"/>
      <w:jc w:val="center"/>
    </w:pPr>
    <w:rPr>
      <w:i/>
      <w:iCs/>
      <w:color w:val="404040" w:themeColor="text1" w:themeTint="BF"/>
    </w:rPr>
  </w:style>
  <w:style w:type="character" w:customStyle="1" w:styleId="QuoteChar">
    <w:name w:val="Quote Char"/>
    <w:basedOn w:val="DefaultParagraphFont"/>
    <w:link w:val="Quote"/>
    <w:uiPriority w:val="29"/>
    <w:rsid w:val="003279E7"/>
    <w:rPr>
      <w:i/>
      <w:iCs/>
      <w:color w:val="404040" w:themeColor="text1" w:themeTint="BF"/>
      <w:lang w:val="en-NZ"/>
    </w:rPr>
  </w:style>
  <w:style w:type="paragraph" w:styleId="ListParagraph">
    <w:name w:val="List Paragraph"/>
    <w:basedOn w:val="Normal"/>
    <w:uiPriority w:val="34"/>
    <w:qFormat/>
    <w:rsid w:val="003279E7"/>
    <w:pPr>
      <w:ind w:firstLine="720"/>
    </w:pPr>
  </w:style>
  <w:style w:type="character" w:styleId="IntenseEmphasis">
    <w:name w:val="Intense Emphasis"/>
    <w:basedOn w:val="DefaultParagraphFont"/>
    <w:uiPriority w:val="21"/>
    <w:qFormat/>
    <w:rsid w:val="003279E7"/>
    <w:rPr>
      <w:i/>
      <w:iCs/>
      <w:color w:val="1290ED" w:themeColor="accent1" w:themeShade="BF"/>
    </w:rPr>
  </w:style>
  <w:style w:type="paragraph" w:styleId="IntenseQuote">
    <w:name w:val="Intense Quote"/>
    <w:basedOn w:val="Normal"/>
    <w:next w:val="Normal"/>
    <w:link w:val="IntenseQuoteChar"/>
    <w:uiPriority w:val="30"/>
    <w:qFormat/>
    <w:rsid w:val="003279E7"/>
    <w:pPr>
      <w:pBdr>
        <w:top w:val="single" w:sz="4" w:space="10" w:color="1290ED" w:themeColor="accent1" w:themeShade="BF"/>
        <w:bottom w:val="single" w:sz="4" w:space="10" w:color="1290ED" w:themeColor="accent1" w:themeShade="BF"/>
      </w:pBdr>
      <w:spacing w:before="360" w:after="360"/>
      <w:ind w:left="864" w:right="864"/>
      <w:jc w:val="center"/>
    </w:pPr>
    <w:rPr>
      <w:i/>
      <w:iCs/>
      <w:color w:val="1290ED" w:themeColor="accent1" w:themeShade="BF"/>
    </w:rPr>
  </w:style>
  <w:style w:type="character" w:customStyle="1" w:styleId="IntenseQuoteChar">
    <w:name w:val="Intense Quote Char"/>
    <w:basedOn w:val="DefaultParagraphFont"/>
    <w:link w:val="IntenseQuote"/>
    <w:uiPriority w:val="30"/>
    <w:rsid w:val="003279E7"/>
    <w:rPr>
      <w:i/>
      <w:iCs/>
      <w:color w:val="1290ED" w:themeColor="accent1" w:themeShade="BF"/>
      <w:lang w:val="en-NZ"/>
    </w:rPr>
  </w:style>
  <w:style w:type="character" w:styleId="IntenseReference">
    <w:name w:val="Intense Reference"/>
    <w:basedOn w:val="DefaultParagraphFont"/>
    <w:uiPriority w:val="32"/>
    <w:qFormat/>
    <w:rsid w:val="003279E7"/>
    <w:rPr>
      <w:b/>
      <w:bCs/>
      <w:smallCaps/>
      <w:color w:val="1290ED" w:themeColor="accent1" w:themeShade="BF"/>
      <w:spacing w:val="5"/>
    </w:rPr>
  </w:style>
  <w:style w:type="paragraph" w:styleId="BlockText">
    <w:name w:val="Block Text"/>
    <w:basedOn w:val="Normal"/>
    <w:uiPriority w:val="99"/>
    <w:unhideWhenUsed/>
    <w:rsid w:val="003279E7"/>
    <w:pPr>
      <w:pBdr>
        <w:top w:val="single" w:sz="2" w:space="10" w:color="003E52" w:themeColor="text2"/>
        <w:left w:val="single" w:sz="2" w:space="10" w:color="003E52" w:themeColor="text2"/>
        <w:bottom w:val="single" w:sz="2" w:space="10" w:color="003E52" w:themeColor="text2"/>
        <w:right w:val="single" w:sz="2" w:space="10" w:color="003E52" w:themeColor="text2"/>
      </w:pBdr>
      <w:ind w:left="1152" w:right="1152"/>
    </w:pPr>
    <w:rPr>
      <w:i/>
      <w:iCs/>
      <w:color w:val="003E52" w:themeColor="text2"/>
    </w:rPr>
  </w:style>
  <w:style w:type="paragraph" w:styleId="BodyText">
    <w:name w:val="Body Text"/>
    <w:basedOn w:val="Normal"/>
    <w:link w:val="BodyTextChar"/>
    <w:uiPriority w:val="99"/>
    <w:unhideWhenUsed/>
    <w:rsid w:val="003279E7"/>
    <w:pPr>
      <w:spacing w:after="120"/>
    </w:pPr>
  </w:style>
  <w:style w:type="character" w:customStyle="1" w:styleId="BodyTextChar">
    <w:name w:val="Body Text Char"/>
    <w:basedOn w:val="DefaultParagraphFont"/>
    <w:link w:val="BodyText"/>
    <w:uiPriority w:val="99"/>
    <w:rsid w:val="003279E7"/>
    <w:rPr>
      <w:lang w:val="en-NZ"/>
    </w:rPr>
  </w:style>
  <w:style w:type="paragraph" w:styleId="BodyText2">
    <w:name w:val="Body Text 2"/>
    <w:basedOn w:val="Normal"/>
    <w:link w:val="BodyText2Char"/>
    <w:uiPriority w:val="99"/>
    <w:unhideWhenUsed/>
    <w:rsid w:val="003279E7"/>
    <w:pPr>
      <w:spacing w:after="120" w:line="480" w:lineRule="auto"/>
    </w:pPr>
  </w:style>
  <w:style w:type="character" w:customStyle="1" w:styleId="BodyText2Char">
    <w:name w:val="Body Text 2 Char"/>
    <w:basedOn w:val="DefaultParagraphFont"/>
    <w:link w:val="BodyText2"/>
    <w:uiPriority w:val="99"/>
    <w:rsid w:val="003279E7"/>
    <w:rPr>
      <w:lang w:val="en-NZ"/>
    </w:rPr>
  </w:style>
  <w:style w:type="paragraph" w:styleId="Caption">
    <w:name w:val="caption"/>
    <w:basedOn w:val="Normal"/>
    <w:next w:val="Normal"/>
    <w:uiPriority w:val="35"/>
    <w:semiHidden/>
    <w:unhideWhenUsed/>
    <w:qFormat/>
    <w:rsid w:val="003279E7"/>
    <w:pPr>
      <w:spacing w:after="200" w:line="240" w:lineRule="auto"/>
    </w:pPr>
    <w:rPr>
      <w:i/>
      <w:iCs/>
      <w:color w:val="003E52" w:themeColor="text2"/>
      <w:sz w:val="18"/>
      <w:szCs w:val="18"/>
    </w:rPr>
  </w:style>
  <w:style w:type="paragraph" w:styleId="Date">
    <w:name w:val="Date"/>
    <w:basedOn w:val="Normal"/>
    <w:next w:val="Normal"/>
    <w:link w:val="DateChar"/>
    <w:uiPriority w:val="99"/>
    <w:unhideWhenUsed/>
    <w:rsid w:val="003279E7"/>
  </w:style>
  <w:style w:type="character" w:customStyle="1" w:styleId="DateChar">
    <w:name w:val="Date Char"/>
    <w:basedOn w:val="DefaultParagraphFont"/>
    <w:link w:val="Date"/>
    <w:uiPriority w:val="99"/>
    <w:rsid w:val="003279E7"/>
    <w:rPr>
      <w:lang w:val="en-NZ"/>
    </w:rPr>
  </w:style>
  <w:style w:type="paragraph" w:styleId="DocumentMap">
    <w:name w:val="Document Map"/>
    <w:basedOn w:val="Normal"/>
    <w:link w:val="DocumentMapChar"/>
    <w:uiPriority w:val="99"/>
    <w:unhideWhenUsed/>
    <w:rsid w:val="003279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3279E7"/>
    <w:rPr>
      <w:rFonts w:ascii="Segoe UI" w:hAnsi="Segoe UI" w:cs="Segoe UI"/>
      <w:sz w:val="16"/>
      <w:szCs w:val="16"/>
      <w:lang w:val="en-NZ"/>
    </w:rPr>
  </w:style>
  <w:style w:type="paragraph" w:styleId="Footer">
    <w:name w:val="footer"/>
    <w:basedOn w:val="Normal"/>
    <w:link w:val="FooterChar"/>
    <w:uiPriority w:val="99"/>
    <w:unhideWhenUsed/>
    <w:rsid w:val="00327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E7"/>
    <w:rPr>
      <w:lang w:val="en-NZ"/>
    </w:rPr>
  </w:style>
  <w:style w:type="character" w:styleId="FootnoteReference">
    <w:name w:val="footnote reference"/>
    <w:basedOn w:val="DefaultParagraphFont"/>
    <w:uiPriority w:val="99"/>
    <w:unhideWhenUsed/>
    <w:rsid w:val="003279E7"/>
    <w:rPr>
      <w:color w:val="003E52" w:themeColor="text2"/>
      <w:vertAlign w:val="superscript"/>
    </w:rPr>
  </w:style>
  <w:style w:type="paragraph" w:styleId="FootnoteText">
    <w:name w:val="footnote text"/>
    <w:basedOn w:val="Normal"/>
    <w:link w:val="FootnoteTextChar"/>
    <w:uiPriority w:val="99"/>
    <w:rsid w:val="003279E7"/>
    <w:pPr>
      <w:spacing w:after="0" w:line="240" w:lineRule="auto"/>
    </w:pPr>
    <w:rPr>
      <w:sz w:val="19"/>
      <w:szCs w:val="20"/>
    </w:rPr>
  </w:style>
  <w:style w:type="character" w:customStyle="1" w:styleId="FootnoteTextChar">
    <w:name w:val="Footnote Text Char"/>
    <w:basedOn w:val="DefaultParagraphFont"/>
    <w:link w:val="FootnoteText"/>
    <w:uiPriority w:val="99"/>
    <w:rsid w:val="003279E7"/>
    <w:rPr>
      <w:sz w:val="19"/>
      <w:szCs w:val="20"/>
      <w:lang w:val="en-NZ"/>
    </w:rPr>
  </w:style>
  <w:style w:type="paragraph" w:styleId="Header">
    <w:name w:val="header"/>
    <w:basedOn w:val="Normal"/>
    <w:link w:val="HeaderChar"/>
    <w:uiPriority w:val="99"/>
    <w:semiHidden/>
    <w:rsid w:val="003279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79E7"/>
    <w:rPr>
      <w:lang w:val="en-NZ"/>
    </w:rPr>
  </w:style>
  <w:style w:type="numbering" w:customStyle="1" w:styleId="HUDBulletList">
    <w:name w:val="HUD Bullet List"/>
    <w:uiPriority w:val="99"/>
    <w:rsid w:val="003279E7"/>
    <w:pPr>
      <w:numPr>
        <w:numId w:val="1"/>
      </w:numPr>
    </w:pPr>
  </w:style>
  <w:style w:type="numbering" w:customStyle="1" w:styleId="HUDCabinetList">
    <w:name w:val="HUD Cabinet List"/>
    <w:uiPriority w:val="99"/>
    <w:rsid w:val="003279E7"/>
    <w:pPr>
      <w:numPr>
        <w:numId w:val="2"/>
      </w:numPr>
    </w:pPr>
  </w:style>
  <w:style w:type="numbering" w:customStyle="1" w:styleId="HUDList">
    <w:name w:val="HUD List"/>
    <w:uiPriority w:val="99"/>
    <w:rsid w:val="003279E7"/>
    <w:pPr>
      <w:numPr>
        <w:numId w:val="3"/>
      </w:numPr>
    </w:pPr>
  </w:style>
  <w:style w:type="numbering" w:customStyle="1" w:styleId="HUDRecommended">
    <w:name w:val="HUD Recommended"/>
    <w:uiPriority w:val="99"/>
    <w:rsid w:val="003279E7"/>
    <w:pPr>
      <w:numPr>
        <w:numId w:val="4"/>
      </w:numPr>
    </w:pPr>
  </w:style>
  <w:style w:type="paragraph" w:customStyle="1" w:styleId="HUDTableBody">
    <w:name w:val="HUD Table Body"/>
    <w:uiPriority w:val="99"/>
    <w:unhideWhenUsed/>
    <w:qFormat/>
    <w:rsid w:val="003279E7"/>
    <w:pPr>
      <w:spacing w:after="0" w:line="259" w:lineRule="auto"/>
    </w:pPr>
    <w:rPr>
      <w:bCs/>
      <w:kern w:val="0"/>
      <w:szCs w:val="22"/>
      <w:lang w:val="en-NZ"/>
      <w14:ligatures w14:val="none"/>
    </w:rPr>
  </w:style>
  <w:style w:type="paragraph" w:customStyle="1" w:styleId="HUDTablebullets">
    <w:name w:val="HUD Table bullets"/>
    <w:uiPriority w:val="99"/>
    <w:unhideWhenUsed/>
    <w:qFormat/>
    <w:rsid w:val="003279E7"/>
    <w:pPr>
      <w:numPr>
        <w:numId w:val="5"/>
      </w:numPr>
      <w:spacing w:after="0" w:line="259" w:lineRule="auto"/>
    </w:pPr>
    <w:rPr>
      <w:kern w:val="0"/>
      <w:lang w:val="en-NZ"/>
      <w14:ligatures w14:val="none"/>
    </w:rPr>
  </w:style>
  <w:style w:type="paragraph" w:customStyle="1" w:styleId="HUDTableHeading">
    <w:name w:val="HUD Table Heading"/>
    <w:basedOn w:val="Normal"/>
    <w:uiPriority w:val="99"/>
    <w:unhideWhenUsed/>
    <w:qFormat/>
    <w:rsid w:val="003279E7"/>
    <w:pPr>
      <w:spacing w:after="0"/>
    </w:pPr>
    <w:rPr>
      <w:b/>
      <w:bCs/>
    </w:rPr>
  </w:style>
  <w:style w:type="paragraph" w:customStyle="1" w:styleId="HUDCaption">
    <w:name w:val="HUD_Caption"/>
    <w:basedOn w:val="Normal"/>
    <w:uiPriority w:val="99"/>
    <w:qFormat/>
    <w:rsid w:val="003279E7"/>
    <w:rPr>
      <w:i/>
      <w:color w:val="003E52" w:themeColor="text2"/>
    </w:rPr>
  </w:style>
  <w:style w:type="paragraph" w:customStyle="1" w:styleId="HUDIndented">
    <w:name w:val="HUD_Indented"/>
    <w:basedOn w:val="Normal"/>
    <w:uiPriority w:val="99"/>
    <w:unhideWhenUsed/>
    <w:qFormat/>
    <w:rsid w:val="003279E7"/>
    <w:pPr>
      <w:ind w:left="709"/>
    </w:pPr>
  </w:style>
  <w:style w:type="paragraph" w:customStyle="1" w:styleId="HUDList0">
    <w:name w:val="HUD_List"/>
    <w:basedOn w:val="ListParagraph"/>
    <w:uiPriority w:val="99"/>
    <w:unhideWhenUsed/>
    <w:qFormat/>
    <w:rsid w:val="003279E7"/>
    <w:pPr>
      <w:numPr>
        <w:numId w:val="6"/>
      </w:numPr>
    </w:pPr>
    <w:rPr>
      <w:szCs w:val="22"/>
    </w:rPr>
  </w:style>
  <w:style w:type="character" w:customStyle="1" w:styleId="HUDNotes">
    <w:name w:val="HUD_Notes"/>
    <w:basedOn w:val="DefaultParagraphFont"/>
    <w:uiPriority w:val="99"/>
    <w:qFormat/>
    <w:rsid w:val="003279E7"/>
    <w:rPr>
      <w:i/>
    </w:rPr>
  </w:style>
  <w:style w:type="paragraph" w:customStyle="1" w:styleId="HUDTableHeading0">
    <w:name w:val="HUD_Table Heading"/>
    <w:next w:val="Heading2"/>
    <w:uiPriority w:val="99"/>
    <w:qFormat/>
    <w:rsid w:val="003279E7"/>
    <w:pPr>
      <w:spacing w:line="259" w:lineRule="auto"/>
      <w:outlineLvl w:val="4"/>
    </w:pPr>
    <w:rPr>
      <w:rFonts w:asciiTheme="majorHAnsi" w:hAnsiTheme="majorHAnsi"/>
      <w:b/>
      <w:kern w:val="0"/>
      <w:lang w:val="en-NZ"/>
      <w14:ligatures w14:val="none"/>
    </w:rPr>
  </w:style>
  <w:style w:type="character" w:styleId="Hyperlink">
    <w:name w:val="Hyperlink"/>
    <w:basedOn w:val="DefaultParagraphFont"/>
    <w:uiPriority w:val="99"/>
    <w:unhideWhenUsed/>
    <w:rsid w:val="003279E7"/>
    <w:rPr>
      <w:color w:val="003E52" w:themeColor="text2"/>
      <w:u w:val="single"/>
    </w:rPr>
  </w:style>
  <w:style w:type="paragraph" w:styleId="ListBullet">
    <w:name w:val="List Bullet"/>
    <w:basedOn w:val="Normal"/>
    <w:uiPriority w:val="99"/>
    <w:unhideWhenUsed/>
    <w:rsid w:val="003279E7"/>
    <w:pPr>
      <w:numPr>
        <w:numId w:val="8"/>
      </w:numPr>
      <w:contextualSpacing/>
    </w:pPr>
  </w:style>
  <w:style w:type="paragraph" w:styleId="ListBullet2">
    <w:name w:val="List Bullet 2"/>
    <w:basedOn w:val="Normal"/>
    <w:uiPriority w:val="99"/>
    <w:unhideWhenUsed/>
    <w:rsid w:val="003279E7"/>
    <w:pPr>
      <w:numPr>
        <w:numId w:val="10"/>
      </w:numPr>
      <w:contextualSpacing/>
    </w:pPr>
  </w:style>
  <w:style w:type="paragraph" w:styleId="ListBullet3">
    <w:name w:val="List Bullet 3"/>
    <w:basedOn w:val="Normal"/>
    <w:uiPriority w:val="99"/>
    <w:unhideWhenUsed/>
    <w:rsid w:val="003279E7"/>
    <w:pPr>
      <w:numPr>
        <w:numId w:val="12"/>
      </w:numPr>
      <w:contextualSpacing/>
    </w:pPr>
  </w:style>
  <w:style w:type="paragraph" w:styleId="ListBullet4">
    <w:name w:val="List Bullet 4"/>
    <w:basedOn w:val="Normal"/>
    <w:uiPriority w:val="99"/>
    <w:unhideWhenUsed/>
    <w:rsid w:val="003279E7"/>
    <w:pPr>
      <w:numPr>
        <w:numId w:val="14"/>
      </w:numPr>
      <w:contextualSpacing/>
    </w:pPr>
  </w:style>
  <w:style w:type="paragraph" w:styleId="ListBullet5">
    <w:name w:val="List Bullet 5"/>
    <w:basedOn w:val="Normal"/>
    <w:uiPriority w:val="99"/>
    <w:unhideWhenUsed/>
    <w:rsid w:val="003279E7"/>
    <w:pPr>
      <w:numPr>
        <w:numId w:val="16"/>
      </w:numPr>
      <w:contextualSpacing/>
    </w:pPr>
  </w:style>
  <w:style w:type="paragraph" w:styleId="ListContinue2">
    <w:name w:val="List Continue 2"/>
    <w:basedOn w:val="Normal"/>
    <w:uiPriority w:val="99"/>
    <w:unhideWhenUsed/>
    <w:rsid w:val="003279E7"/>
    <w:pPr>
      <w:spacing w:after="120"/>
      <w:ind w:left="566"/>
      <w:contextualSpacing/>
    </w:pPr>
  </w:style>
  <w:style w:type="paragraph" w:styleId="ListContinue3">
    <w:name w:val="List Continue 3"/>
    <w:basedOn w:val="Normal"/>
    <w:uiPriority w:val="99"/>
    <w:unhideWhenUsed/>
    <w:rsid w:val="003279E7"/>
    <w:pPr>
      <w:spacing w:after="120"/>
      <w:ind w:left="849"/>
      <w:contextualSpacing/>
    </w:pPr>
  </w:style>
  <w:style w:type="paragraph" w:styleId="NoSpacing">
    <w:name w:val="No Spacing"/>
    <w:uiPriority w:val="1"/>
    <w:qFormat/>
    <w:rsid w:val="003279E7"/>
    <w:pPr>
      <w:spacing w:after="0" w:line="240" w:lineRule="auto"/>
    </w:pPr>
    <w:rPr>
      <w:kern w:val="0"/>
      <w:sz w:val="22"/>
      <w:szCs w:val="22"/>
      <w:lang w:val="en-NZ"/>
      <w14:ligatures w14:val="none"/>
    </w:rPr>
  </w:style>
  <w:style w:type="paragraph" w:styleId="NormalIndent">
    <w:name w:val="Normal Indent"/>
    <w:basedOn w:val="Normal"/>
    <w:uiPriority w:val="1"/>
    <w:rsid w:val="003279E7"/>
    <w:pPr>
      <w:ind w:left="720"/>
    </w:pPr>
  </w:style>
  <w:style w:type="character" w:styleId="PlaceholderText">
    <w:name w:val="Placeholder Text"/>
    <w:basedOn w:val="DefaultParagraphFont"/>
    <w:uiPriority w:val="99"/>
    <w:semiHidden/>
    <w:rsid w:val="003279E7"/>
    <w:rPr>
      <w:color w:val="808080"/>
    </w:rPr>
  </w:style>
  <w:style w:type="paragraph" w:customStyle="1" w:styleId="Subheading2">
    <w:name w:val="Subheading 2"/>
    <w:basedOn w:val="Normal"/>
    <w:semiHidden/>
    <w:qFormat/>
    <w:rsid w:val="003279E7"/>
    <w:pPr>
      <w:spacing w:after="0" w:line="240" w:lineRule="auto"/>
    </w:pPr>
    <w:rPr>
      <w:i/>
    </w:rPr>
  </w:style>
  <w:style w:type="paragraph" w:customStyle="1" w:styleId="TableBody">
    <w:name w:val="Table Body"/>
    <w:basedOn w:val="Normal"/>
    <w:semiHidden/>
    <w:qFormat/>
    <w:rsid w:val="003279E7"/>
    <w:pPr>
      <w:spacing w:after="0" w:line="240" w:lineRule="auto"/>
    </w:pPr>
  </w:style>
  <w:style w:type="table" w:styleId="TableGrid">
    <w:name w:val="Table Grid"/>
    <w:basedOn w:val="TableNormal"/>
    <w:uiPriority w:val="39"/>
    <w:rsid w:val="003279E7"/>
    <w:pPr>
      <w:spacing w:after="0" w:line="259" w:lineRule="auto"/>
    </w:pPr>
    <w:rPr>
      <w:kern w:val="0"/>
      <w:szCs w:val="22"/>
      <w:lang w:val="en-NZ"/>
      <w14:ligatures w14:val="none"/>
    </w:rPr>
    <w:tblPr>
      <w:tblBorders>
        <w:top w:val="single" w:sz="4" w:space="0" w:color="003E52" w:themeColor="text2"/>
        <w:left w:val="single" w:sz="4" w:space="0" w:color="003E52" w:themeColor="text2"/>
        <w:bottom w:val="single" w:sz="4" w:space="0" w:color="003E52" w:themeColor="text2"/>
        <w:right w:val="single" w:sz="4" w:space="0" w:color="003E52" w:themeColor="text2"/>
        <w:insideH w:val="single" w:sz="4" w:space="0" w:color="003E52" w:themeColor="text2"/>
        <w:insideV w:val="single" w:sz="4" w:space="0" w:color="003E52" w:themeColor="text2"/>
      </w:tblBorders>
      <w:tblCellMar>
        <w:top w:w="113" w:type="dxa"/>
        <w:left w:w="170" w:type="dxa"/>
        <w:bottom w:w="113" w:type="dxa"/>
        <w:right w:w="170" w:type="dxa"/>
      </w:tblCellMar>
    </w:tblPr>
    <w:tcPr>
      <w:shd w:val="clear" w:color="auto" w:fill="auto"/>
    </w:tcPr>
    <w:tblStylePr w:type="firstRow">
      <w:rPr>
        <w:rFonts w:asciiTheme="majorHAnsi" w:hAnsiTheme="majorHAnsi"/>
        <w:caps/>
        <w:smallCaps w:val="0"/>
        <w:sz w:val="24"/>
      </w:rPr>
      <w:tblPr/>
      <w:tcPr>
        <w:shd w:val="clear" w:color="auto" w:fill="E1E9EB"/>
      </w:tcPr>
    </w:tblStylePr>
    <w:tblStylePr w:type="lastRow">
      <w:rPr>
        <w:rFonts w:asciiTheme="minorHAnsi" w:hAnsiTheme="minorHAnsi"/>
        <w:sz w:val="22"/>
      </w:rPr>
    </w:tblStylePr>
    <w:tblStylePr w:type="firstCol">
      <w:rPr>
        <w:rFonts w:asciiTheme="majorHAnsi" w:hAnsiTheme="majorHAnsi"/>
        <w:b w:val="0"/>
        <w:sz w:val="24"/>
      </w:rPr>
      <w:tblPr/>
      <w:tcPr>
        <w:shd w:val="clear" w:color="auto" w:fill="E7E9E8" w:themeFill="accent4" w:themeFillTint="1A"/>
      </w:tcPr>
    </w:tblStylePr>
  </w:style>
  <w:style w:type="paragraph" w:customStyle="1" w:styleId="TableSpacing">
    <w:name w:val="Table Spacing"/>
    <w:basedOn w:val="NoSpacing"/>
    <w:semiHidden/>
    <w:qFormat/>
    <w:rsid w:val="003279E7"/>
    <w:rPr>
      <w:sz w:val="12"/>
      <w:szCs w:val="12"/>
    </w:rPr>
  </w:style>
  <w:style w:type="paragraph" w:styleId="TOC1">
    <w:name w:val="toc 1"/>
    <w:basedOn w:val="Normal"/>
    <w:next w:val="Normal"/>
    <w:autoRedefine/>
    <w:uiPriority w:val="39"/>
    <w:unhideWhenUsed/>
    <w:rsid w:val="003279E7"/>
    <w:pPr>
      <w:tabs>
        <w:tab w:val="right" w:leader="dot" w:pos="9912"/>
      </w:tabs>
      <w:spacing w:before="120" w:after="120"/>
    </w:pPr>
    <w:rPr>
      <w:rFonts w:cstheme="minorHAnsi"/>
      <w:b/>
      <w:bCs/>
      <w:noProof/>
      <w:sz w:val="28"/>
      <w:szCs w:val="28"/>
    </w:rPr>
  </w:style>
  <w:style w:type="paragraph" w:styleId="TOC2">
    <w:name w:val="toc 2"/>
    <w:basedOn w:val="Normal"/>
    <w:next w:val="Normal"/>
    <w:autoRedefine/>
    <w:uiPriority w:val="39"/>
    <w:unhideWhenUsed/>
    <w:rsid w:val="003279E7"/>
    <w:pPr>
      <w:tabs>
        <w:tab w:val="right" w:leader="dot" w:pos="9912"/>
      </w:tabs>
      <w:spacing w:before="120" w:after="120"/>
    </w:pPr>
    <w:rPr>
      <w:rFonts w:cstheme="minorHAnsi"/>
      <w:b/>
      <w:bCs/>
      <w:noProof/>
    </w:rPr>
  </w:style>
  <w:style w:type="paragraph" w:styleId="TOC3">
    <w:name w:val="toc 3"/>
    <w:basedOn w:val="Normal"/>
    <w:next w:val="Normal"/>
    <w:autoRedefine/>
    <w:uiPriority w:val="39"/>
    <w:unhideWhenUsed/>
    <w:rsid w:val="003279E7"/>
    <w:pPr>
      <w:tabs>
        <w:tab w:val="right" w:leader="dot" w:pos="9912"/>
      </w:tabs>
      <w:spacing w:before="120" w:after="0"/>
      <w:contextualSpacing/>
    </w:pPr>
    <w:rPr>
      <w:rFonts w:cstheme="minorHAnsi"/>
      <w:noProof/>
    </w:rPr>
  </w:style>
  <w:style w:type="paragraph" w:styleId="TOC4">
    <w:name w:val="toc 4"/>
    <w:basedOn w:val="Normal"/>
    <w:next w:val="Normal"/>
    <w:autoRedefine/>
    <w:uiPriority w:val="39"/>
    <w:unhideWhenUsed/>
    <w:rsid w:val="003279E7"/>
    <w:pPr>
      <w:tabs>
        <w:tab w:val="right" w:leader="dot" w:pos="9912"/>
      </w:tabs>
      <w:spacing w:before="60" w:after="60"/>
      <w:ind w:left="567"/>
    </w:pPr>
    <w:rPr>
      <w:rFonts w:cstheme="minorHAnsi"/>
      <w:sz w:val="20"/>
      <w:szCs w:val="20"/>
    </w:rPr>
  </w:style>
  <w:style w:type="paragraph" w:styleId="TOC5">
    <w:name w:val="toc 5"/>
    <w:basedOn w:val="Normal"/>
    <w:next w:val="Normal"/>
    <w:autoRedefine/>
    <w:uiPriority w:val="39"/>
    <w:semiHidden/>
    <w:unhideWhenUsed/>
    <w:rsid w:val="003279E7"/>
    <w:pPr>
      <w:spacing w:after="0"/>
      <w:ind w:left="960"/>
    </w:pPr>
    <w:rPr>
      <w:rFonts w:cstheme="minorHAnsi"/>
      <w:sz w:val="20"/>
      <w:szCs w:val="20"/>
    </w:rPr>
  </w:style>
  <w:style w:type="paragraph" w:styleId="TOC6">
    <w:name w:val="toc 6"/>
    <w:basedOn w:val="Normal"/>
    <w:next w:val="Normal"/>
    <w:autoRedefine/>
    <w:uiPriority w:val="39"/>
    <w:semiHidden/>
    <w:unhideWhenUsed/>
    <w:rsid w:val="003279E7"/>
    <w:pPr>
      <w:spacing w:after="0"/>
      <w:ind w:left="1200"/>
    </w:pPr>
    <w:rPr>
      <w:rFonts w:cstheme="minorHAnsi"/>
      <w:sz w:val="20"/>
      <w:szCs w:val="20"/>
    </w:rPr>
  </w:style>
  <w:style w:type="paragraph" w:styleId="TOC7">
    <w:name w:val="toc 7"/>
    <w:basedOn w:val="Normal"/>
    <w:next w:val="Normal"/>
    <w:autoRedefine/>
    <w:uiPriority w:val="39"/>
    <w:semiHidden/>
    <w:unhideWhenUsed/>
    <w:rsid w:val="003279E7"/>
    <w:pPr>
      <w:spacing w:after="0"/>
      <w:ind w:left="1440"/>
    </w:pPr>
    <w:rPr>
      <w:rFonts w:cstheme="minorHAnsi"/>
      <w:sz w:val="20"/>
      <w:szCs w:val="20"/>
    </w:rPr>
  </w:style>
  <w:style w:type="paragraph" w:styleId="TOC8">
    <w:name w:val="toc 8"/>
    <w:basedOn w:val="Normal"/>
    <w:next w:val="Normal"/>
    <w:autoRedefine/>
    <w:uiPriority w:val="39"/>
    <w:semiHidden/>
    <w:unhideWhenUsed/>
    <w:rsid w:val="003279E7"/>
    <w:pPr>
      <w:spacing w:after="0"/>
      <w:ind w:left="1680"/>
    </w:pPr>
    <w:rPr>
      <w:rFonts w:cstheme="minorHAnsi"/>
      <w:sz w:val="20"/>
      <w:szCs w:val="20"/>
    </w:rPr>
  </w:style>
  <w:style w:type="paragraph" w:styleId="TOC9">
    <w:name w:val="toc 9"/>
    <w:basedOn w:val="Normal"/>
    <w:next w:val="Normal"/>
    <w:autoRedefine/>
    <w:uiPriority w:val="39"/>
    <w:semiHidden/>
    <w:unhideWhenUsed/>
    <w:rsid w:val="003279E7"/>
    <w:pPr>
      <w:spacing w:after="0"/>
      <w:ind w:left="1920"/>
    </w:pPr>
    <w:rPr>
      <w:rFonts w:cstheme="minorHAnsi"/>
      <w:sz w:val="20"/>
      <w:szCs w:val="20"/>
    </w:rPr>
  </w:style>
  <w:style w:type="paragraph" w:styleId="TOCHeading">
    <w:name w:val="TOC Heading"/>
    <w:basedOn w:val="Heading1"/>
    <w:next w:val="Normal"/>
    <w:uiPriority w:val="39"/>
    <w:unhideWhenUsed/>
    <w:qFormat/>
    <w:rsid w:val="003279E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HUD_Theme">
  <a:themeElements>
    <a:clrScheme name="MHUD">
      <a:dk1>
        <a:sysClr val="windowText" lastClr="000000"/>
      </a:dk1>
      <a:lt1>
        <a:sysClr val="window" lastClr="FFFFFF"/>
      </a:lt1>
      <a:dk2>
        <a:srgbClr val="003E52"/>
      </a:dk2>
      <a:lt2>
        <a:srgbClr val="FFC04A"/>
      </a:lt2>
      <a:accent1>
        <a:srgbClr val="62B6F3"/>
      </a:accent1>
      <a:accent2>
        <a:srgbClr val="00826E"/>
      </a:accent2>
      <a:accent3>
        <a:srgbClr val="A4343E"/>
      </a:accent3>
      <a:accent4>
        <a:srgbClr val="222423"/>
      </a:accent4>
      <a:accent5>
        <a:srgbClr val="E1E9EB"/>
      </a:accent5>
      <a:accent6>
        <a:srgbClr val="00C48D"/>
      </a:accent6>
      <a:hlink>
        <a:srgbClr val="FCD192"/>
      </a:hlink>
      <a:folHlink>
        <a:srgbClr val="DF8881"/>
      </a:folHlink>
    </a:clrScheme>
    <a:fontScheme name="MHU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e0dadb-e506-49de-bdef-acd4ecb2edda" xsi:nil="true"/>
    <lcf76f155ced4ddcb4097134ff3c332f xmlns="2c76818c-7ea8-47fa-b33e-2c43827d0f0f">
      <Terms xmlns="http://schemas.microsoft.com/office/infopath/2007/PartnerControls"/>
    </lcf76f155ced4ddcb4097134ff3c332f>
    <_dlc_DocId xmlns="3ce0dadb-e506-49de-bdef-acd4ecb2edda">COMMS-673548004-11295</_dlc_DocId>
    <_dlc_DocIdUrl xmlns="3ce0dadb-e506-49de-bdef-acd4ecb2edda">
      <Url>https://mhud.sharepoint.com/sites/dms-comms/_layouts/15/DocIdRedir.aspx?ID=COMMS-673548004-11295</Url>
      <Description>COMMS-673548004-11295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3211552F232040B38D803CE96D4590" ma:contentTypeVersion="13" ma:contentTypeDescription="Create a new document." ma:contentTypeScope="" ma:versionID="637717fefcf5eca2d18447b593082d7c">
  <xsd:schema xmlns:xsd="http://www.w3.org/2001/XMLSchema" xmlns:xs="http://www.w3.org/2001/XMLSchema" xmlns:p="http://schemas.microsoft.com/office/2006/metadata/properties" xmlns:ns2="3ce0dadb-e506-49de-bdef-acd4ecb2edda" xmlns:ns3="2c76818c-7ea8-47fa-b33e-2c43827d0f0f" targetNamespace="http://schemas.microsoft.com/office/2006/metadata/properties" ma:root="true" ma:fieldsID="0f6a734a14742b3102db81fd6b9675df" ns2:_="" ns3:_="">
    <xsd:import namespace="3ce0dadb-e506-49de-bdef-acd4ecb2edda"/>
    <xsd:import namespace="2c76818c-7ea8-47fa-b33e-2c43827d0f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0dadb-e506-49de-bdef-acd4ecb2ed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816b9a9-b8c0-4ee7-b05d-e6bbc0643f7a}" ma:internalName="TaxCatchAll" ma:showField="CatchAllData" ma:web="3ce0dadb-e506-49de-bdef-acd4ecb2e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6818c-7ea8-47fa-b33e-2c43827d0f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A8F6CA-B054-4B53-98C3-29047DE7C048}">
  <ds:schemaRefs>
    <ds:schemaRef ds:uri="http://schemas.microsoft.com/sharepoint/v3/contenttype/forms"/>
  </ds:schemaRefs>
</ds:datastoreItem>
</file>

<file path=customXml/itemProps2.xml><?xml version="1.0" encoding="utf-8"?>
<ds:datastoreItem xmlns:ds="http://schemas.openxmlformats.org/officeDocument/2006/customXml" ds:itemID="{69D853E1-DE5A-460D-A101-EA0AADB2F0CB}">
  <ds:schemaRefs>
    <ds:schemaRef ds:uri="http://schemas.microsoft.com/office/2006/metadata/properties"/>
    <ds:schemaRef ds:uri="2c76818c-7ea8-47fa-b33e-2c43827d0f0f"/>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3ce0dadb-e506-49de-bdef-acd4ecb2edda"/>
    <ds:schemaRef ds:uri="http://www.w3.org/XML/1998/namespace"/>
  </ds:schemaRefs>
</ds:datastoreItem>
</file>

<file path=customXml/itemProps3.xml><?xml version="1.0" encoding="utf-8"?>
<ds:datastoreItem xmlns:ds="http://schemas.openxmlformats.org/officeDocument/2006/customXml" ds:itemID="{512FF686-51BE-4F27-93DE-E6124F99452D}">
  <ds:schemaRefs>
    <ds:schemaRef ds:uri="http://schemas.openxmlformats.org/officeDocument/2006/bibliography"/>
  </ds:schemaRefs>
</ds:datastoreItem>
</file>

<file path=customXml/itemProps4.xml><?xml version="1.0" encoding="utf-8"?>
<ds:datastoreItem xmlns:ds="http://schemas.openxmlformats.org/officeDocument/2006/customXml" ds:itemID="{AAC6E0F9-C1EE-447C-BA36-70AA47C9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0dadb-e506-49de-bdef-acd4ecb2edda"/>
    <ds:schemaRef ds:uri="2c76818c-7ea8-47fa-b33e-2c43827d0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5B2FED-1F25-49DD-8EB4-BCA0835EA542}">
  <ds:schemaRefs>
    <ds:schemaRef ds:uri="http://schemas.microsoft.com/sharepoint/events"/>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5333</Words>
  <Characters>26240</Characters>
  <Application>Microsoft Office Word</Application>
  <DocSecurity>0</DocSecurity>
  <Lines>460</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Housing and Urban Development</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Falyn Cranston</dc:creator>
  <cp:keywords/>
  <dc:description/>
  <cp:lastModifiedBy>Falyn Cranston</cp:lastModifiedBy>
  <cp:revision>6</cp:revision>
  <dcterms:created xsi:type="dcterms:W3CDTF">2026-03-19T03:18:00Z</dcterms:created>
  <dcterms:modified xsi:type="dcterms:W3CDTF">2026-03-20T01:12:00Z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4305c0a2,2a0b9305,379a33a5</vt:lpwstr>
  </property>
  <property fmtid="{D5CDD505-2E9C-101B-9397-08002B2CF9AE}" pid="3" name="ClassificationContentMarkingFooterFontProps">
    <vt:lpwstr>#000000,10,Aptos</vt:lpwstr>
  </property>
  <property fmtid="{D5CDD505-2E9C-101B-9397-08002B2CF9AE}" pid="4" name="ClassificationContentMarkingFooterText">
    <vt:lpwstr>[UNCLASSIFIED]</vt:lpwstr>
  </property>
  <property fmtid="{D5CDD505-2E9C-101B-9397-08002B2CF9AE}" pid="5" name="ContentTypeId">
    <vt:lpwstr>0x010100993211552F232040B38D803CE96D4590</vt:lpwstr>
  </property>
  <property fmtid="{D5CDD505-2E9C-101B-9397-08002B2CF9AE}" pid="6" name="MediaServiceImageTags">
    <vt:lpwstr/>
  </property>
  <property fmtid="{D5CDD505-2E9C-101B-9397-08002B2CF9AE}" pid="7" name="_dlc_DocIdItemGuid">
    <vt:lpwstr>c64e124c-41f7-4669-90ed-e606c5518757</vt:lpwstr>
  </property>
  <property fmtid="{D5CDD505-2E9C-101B-9397-08002B2CF9AE}" pid="8" name="docLang">
    <vt:lpwstr>en</vt:lpwstr>
  </property>
</Properties>
</file>