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6790494" w:displacedByCustomXml="next"/>
    <w:sdt>
      <w:sdtPr>
        <w:rPr>
          <w:b/>
          <w:color w:val="0E2841" w:themeColor="text2"/>
          <w:sz w:val="36"/>
          <w:szCs w:val="36"/>
        </w:rPr>
        <w:id w:val="-1038048807"/>
        <w:docPartObj>
          <w:docPartGallery w:val="Cover Pages"/>
          <w:docPartUnique/>
        </w:docPartObj>
      </w:sdtPr>
      <w:sdtEndPr>
        <w:rPr>
          <w:b w:val="0"/>
          <w:color w:val="auto"/>
          <w:sz w:val="24"/>
          <w:szCs w:val="22"/>
        </w:rPr>
      </w:sdtEndPr>
      <w:sdtContent>
        <w:p w14:paraId="224EC5F5" w14:textId="1AD3C51D" w:rsidR="00E83FB5" w:rsidRPr="006B3F07" w:rsidRDefault="00E83FB5" w:rsidP="00F564CD">
          <w:pPr>
            <w:rPr>
              <w:b/>
              <w:color w:val="0E2841" w:themeColor="text2"/>
              <w:sz w:val="36"/>
              <w:szCs w:val="36"/>
            </w:rPr>
          </w:pPr>
          <w:r w:rsidRPr="006B3F07">
            <w:rPr>
              <w:b/>
              <w:noProof/>
              <w:color w:val="0E2841" w:themeColor="text2"/>
              <w:sz w:val="36"/>
              <w:szCs w:val="36"/>
              <w:lang w:eastAsia="en-NZ"/>
            </w:rPr>
            <w:drawing>
              <wp:anchor distT="0" distB="0" distL="114300" distR="114300" simplePos="0" relativeHeight="251658241" behindDoc="0" locked="0" layoutInCell="1" allowOverlap="1" wp14:anchorId="142A92E5" wp14:editId="7741661B">
                <wp:simplePos x="0" y="0"/>
                <wp:positionH relativeFrom="column">
                  <wp:posOffset>55103</wp:posOffset>
                </wp:positionH>
                <wp:positionV relativeFrom="paragraph">
                  <wp:posOffset>-546100</wp:posOffset>
                </wp:positionV>
                <wp:extent cx="2549525" cy="637540"/>
                <wp:effectExtent l="0" t="0" r="3175" b="0"/>
                <wp:wrapNone/>
                <wp:docPr id="130217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9525" cy="637540"/>
                        </a:xfrm>
                        <a:prstGeom prst="rect">
                          <a:avLst/>
                        </a:prstGeom>
                      </pic:spPr>
                    </pic:pic>
                  </a:graphicData>
                </a:graphic>
                <wp14:sizeRelH relativeFrom="margin">
                  <wp14:pctWidth>0</wp14:pctWidth>
                </wp14:sizeRelH>
                <wp14:sizeRelV relativeFrom="margin">
                  <wp14:pctHeight>0</wp14:pctHeight>
                </wp14:sizeRelV>
              </wp:anchor>
            </w:drawing>
          </w:r>
          <w:r w:rsidRPr="006B3F07">
            <w:rPr>
              <w:b/>
              <w:noProof/>
              <w:color w:val="0E2841" w:themeColor="text2"/>
              <w:sz w:val="36"/>
              <w:szCs w:val="36"/>
              <w:lang w:eastAsia="en-NZ"/>
            </w:rPr>
            <w:drawing>
              <wp:anchor distT="0" distB="0" distL="114300" distR="114300" simplePos="0" relativeHeight="251658240" behindDoc="0" locked="0" layoutInCell="1" allowOverlap="1" wp14:anchorId="2A1A447D" wp14:editId="3F98A285">
                <wp:simplePos x="0" y="0"/>
                <wp:positionH relativeFrom="page">
                  <wp:align>center</wp:align>
                </wp:positionH>
                <wp:positionV relativeFrom="page">
                  <wp:align>bottom</wp:align>
                </wp:positionV>
                <wp:extent cx="7552690" cy="4721225"/>
                <wp:effectExtent l="0" t="0" r="0" b="3175"/>
                <wp:wrapNone/>
                <wp:docPr id="1223625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2806" cy="4721497"/>
                        </a:xfrm>
                        <a:prstGeom prst="rect">
                          <a:avLst/>
                        </a:prstGeom>
                      </pic:spPr>
                    </pic:pic>
                  </a:graphicData>
                </a:graphic>
                <wp14:sizeRelH relativeFrom="margin">
                  <wp14:pctWidth>0</wp14:pctWidth>
                </wp14:sizeRelH>
                <wp14:sizeRelV relativeFrom="margin">
                  <wp14:pctHeight>0</wp14:pctHeight>
                </wp14:sizeRelV>
              </wp:anchor>
            </w:drawing>
          </w:r>
          <w:r w:rsidRPr="006B3F07">
            <w:rPr>
              <w:b/>
              <w:noProof/>
              <w:color w:val="0E2841" w:themeColor="text2"/>
              <w:sz w:val="36"/>
              <w:szCs w:val="36"/>
              <w:lang w:eastAsia="en-NZ"/>
            </w:rPr>
            <mc:AlternateContent>
              <mc:Choice Requires="wps">
                <w:drawing>
                  <wp:anchor distT="0" distB="0" distL="114300" distR="114300" simplePos="0" relativeHeight="251658243" behindDoc="1" locked="0" layoutInCell="1" allowOverlap="1" wp14:anchorId="528FA44B" wp14:editId="6B9EC109">
                    <wp:simplePos x="0" y="0"/>
                    <wp:positionH relativeFrom="page">
                      <wp:align>center</wp:align>
                    </wp:positionH>
                    <wp:positionV relativeFrom="page">
                      <wp:align>center</wp:align>
                    </wp:positionV>
                    <wp:extent cx="7560000" cy="10692000"/>
                    <wp:effectExtent l="0" t="0" r="3175" b="0"/>
                    <wp:wrapNone/>
                    <wp:docPr id="1078061177"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3E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2B8E5" id="Rectangle 3" o:spid="_x0000_s1026" style="position:absolute;margin-left:0;margin-top:0;width:595.3pt;height:841.9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" fillcolor="#003e51" stroked="f" strokeweight="1pt">
                    <w10:wrap anchorx="page" anchory="page"/>
                  </v:rect>
                </w:pict>
              </mc:Fallback>
            </mc:AlternateContent>
          </w:r>
        </w:p>
        <w:p w14:paraId="44716879" w14:textId="493DAF85" w:rsidR="00E83FB5" w:rsidRDefault="00E83FB5">
          <w:pPr>
            <w:spacing w:after="160" w:line="278" w:lineRule="auto"/>
            <w:rPr>
              <w:b/>
              <w:color w:val="0E2841" w:themeColor="text2"/>
              <w:sz w:val="36"/>
              <w:szCs w:val="36"/>
            </w:rPr>
          </w:pPr>
          <w:r w:rsidRPr="006B3F07">
            <w:rPr>
              <w:b/>
              <w:noProof/>
              <w:color w:val="0E2841" w:themeColor="text2"/>
              <w:sz w:val="36"/>
              <w:szCs w:val="36"/>
              <w:lang w:eastAsia="en-NZ"/>
            </w:rPr>
            <mc:AlternateContent>
              <mc:Choice Requires="wps">
                <w:drawing>
                  <wp:anchor distT="0" distB="0" distL="114300" distR="114300" simplePos="0" relativeHeight="251658242" behindDoc="0" locked="0" layoutInCell="1" allowOverlap="1" wp14:anchorId="430D0991" wp14:editId="3569665C">
                    <wp:simplePos x="0" y="0"/>
                    <wp:positionH relativeFrom="column">
                      <wp:posOffset>10633</wp:posOffset>
                    </wp:positionH>
                    <wp:positionV relativeFrom="paragraph">
                      <wp:posOffset>810437</wp:posOffset>
                    </wp:positionV>
                    <wp:extent cx="5752214" cy="3864049"/>
                    <wp:effectExtent l="0" t="0" r="0" b="3175"/>
                    <wp:wrapNone/>
                    <wp:docPr id="807413738" name="Text Box 5"/>
                    <wp:cNvGraphicFramePr/>
                    <a:graphic xmlns:a="http://schemas.openxmlformats.org/drawingml/2006/main">
                      <a:graphicData uri="http://schemas.microsoft.com/office/word/2010/wordprocessingShape">
                        <wps:wsp>
                          <wps:cNvSpPr txBox="1"/>
                          <wps:spPr>
                            <a:xfrm>
                              <a:off x="0" y="0"/>
                              <a:ext cx="5752214" cy="386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4FF0C" w14:textId="062F8E35" w:rsidR="00E83FB5" w:rsidRPr="003639BD" w:rsidRDefault="00E83FB5" w:rsidP="00E83FB5">
                                <w:pPr>
                                  <w:pStyle w:val="HUDBody"/>
                                  <w:rPr>
                                    <w:b/>
                                    <w:bCs/>
                                    <w:color w:val="FFFFFF" w:themeColor="background1"/>
                                    <w:sz w:val="80"/>
                                    <w:szCs w:val="80"/>
                                  </w:rPr>
                                </w:pPr>
                                <w:r w:rsidRPr="003639BD">
                                  <w:rPr>
                                    <w:b/>
                                    <w:bCs/>
                                    <w:color w:val="FFFFFF" w:themeColor="background1"/>
                                    <w:sz w:val="80"/>
                                    <w:szCs w:val="80"/>
                                  </w:rPr>
                                  <w:t>Operational guidelines for providers of transitional housing</w:t>
                                </w:r>
                              </w:p>
                              <w:p w14:paraId="6C1B7EDE" w14:textId="77777777" w:rsidR="00E83FB5" w:rsidRDefault="00E83FB5" w:rsidP="00E83FB5"/>
                              <w:p w14:paraId="091A7A16" w14:textId="339D75CE" w:rsidR="00E83FB5" w:rsidRPr="00E83FB5" w:rsidRDefault="00E83FB5" w:rsidP="00E83FB5">
                                <w:pPr>
                                  <w:pStyle w:val="HUDBody"/>
                                  <w:rPr>
                                    <w:color w:val="FFFFFF" w:themeColor="background1"/>
                                    <w:sz w:val="40"/>
                                    <w:szCs w:val="40"/>
                                  </w:rPr>
                                </w:pPr>
                                <w:r w:rsidRPr="00E83FB5">
                                  <w:rPr>
                                    <w:color w:val="FFFFFF" w:themeColor="background1"/>
                                    <w:sz w:val="40"/>
                                    <w:szCs w:val="40"/>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D0991" id="_x0000_t202" coordsize="21600,21600" o:spt="202" path="m,l,21600r21600,l21600,xe">
                    <v:stroke joinstyle="miter"/>
                    <v:path gradientshapeok="t" o:connecttype="rect"/>
                  </v:shapetype>
                  <v:shape id="Text Box 5" o:spid="_x0000_s1026" type="#_x0000_t202" style="position:absolute;margin-left:.85pt;margin-top:63.8pt;width:452.95pt;height:30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" filled="f" stroked="f" strokeweight=".5pt">
                    <v:textbox>
                      <w:txbxContent>
                        <w:p w14:paraId="76D4FF0C" w14:textId="062F8E35" w:rsidR="00E83FB5" w:rsidRPr="003639BD" w:rsidRDefault="00E83FB5" w:rsidP="00E83FB5">
                          <w:pPr>
                            <w:pStyle w:val="HUDBody"/>
                            <w:rPr>
                              <w:b/>
                              <w:bCs/>
                              <w:color w:val="FFFFFF" w:themeColor="background1"/>
                              <w:sz w:val="80"/>
                              <w:szCs w:val="80"/>
                            </w:rPr>
                          </w:pPr>
                          <w:r w:rsidRPr="003639BD">
                            <w:rPr>
                              <w:b/>
                              <w:bCs/>
                              <w:color w:val="FFFFFF" w:themeColor="background1"/>
                              <w:sz w:val="80"/>
                              <w:szCs w:val="80"/>
                            </w:rPr>
                            <w:t>Operational guidelines for providers of transitional housing</w:t>
                          </w:r>
                        </w:p>
                        <w:p w14:paraId="6C1B7EDE" w14:textId="77777777" w:rsidR="00E83FB5" w:rsidRDefault="00E83FB5" w:rsidP="00E83FB5"/>
                        <w:p w14:paraId="091A7A16" w14:textId="339D75CE" w:rsidR="00E83FB5" w:rsidRPr="00E83FB5" w:rsidRDefault="00E83FB5" w:rsidP="00E83FB5">
                          <w:pPr>
                            <w:pStyle w:val="HUDBody"/>
                            <w:rPr>
                              <w:color w:val="FFFFFF" w:themeColor="background1"/>
                              <w:sz w:val="40"/>
                              <w:szCs w:val="40"/>
                            </w:rPr>
                          </w:pPr>
                          <w:r w:rsidRPr="00E83FB5">
                            <w:rPr>
                              <w:color w:val="FFFFFF" w:themeColor="background1"/>
                              <w:sz w:val="40"/>
                              <w:szCs w:val="40"/>
                            </w:rPr>
                            <w:t>September 2025</w:t>
                          </w:r>
                        </w:p>
                      </w:txbxContent>
                    </v:textbox>
                  </v:shape>
                </w:pict>
              </mc:Fallback>
            </mc:AlternateContent>
          </w:r>
          <w:r>
            <w:br w:type="page"/>
          </w:r>
        </w:p>
      </w:sdtContent>
    </w:sdt>
    <w:p w14:paraId="4C1898CD" w14:textId="77777777" w:rsidR="00E83FB5" w:rsidRDefault="00E83FB5" w:rsidP="00E83FB5">
      <w:pPr>
        <w:pStyle w:val="HUDHeading1"/>
      </w:pPr>
      <w:bookmarkStart w:id="1" w:name="_Toc208995888"/>
      <w:bookmarkEnd w:id="0"/>
      <w:r>
        <w:lastRenderedPageBreak/>
        <w:t>Contents</w:t>
      </w:r>
      <w:bookmarkEnd w:id="1"/>
    </w:p>
    <w:p w14:paraId="50DC5BCA" w14:textId="4C44FE80" w:rsidR="00117F5B" w:rsidRDefault="00117F5B" w:rsidP="00D23A69">
      <w:pPr>
        <w:pStyle w:val="TOC1"/>
        <w:tabs>
          <w:tab w:val="right" w:leader="dot" w:pos="9016"/>
        </w:tabs>
        <w:spacing w:line="274" w:lineRule="auto"/>
        <w:rPr>
          <w:noProof/>
        </w:rPr>
      </w:pPr>
      <w:r>
        <w:fldChar w:fldCharType="begin"/>
      </w:r>
      <w:r>
        <w:instrText xml:space="preserve"> TOC \h \z \t "HUD_Heading 1,1,HUD_Heading 2,2,HUD_Heading 3,3" </w:instrText>
      </w:r>
      <w:r>
        <w:fldChar w:fldCharType="separate"/>
      </w:r>
      <w:hyperlink w:anchor="_Toc208995889" w:history="1">
        <w:r w:rsidRPr="006A7F75">
          <w:rPr>
            <w:rStyle w:val="Hyperlink"/>
            <w:noProof/>
          </w:rPr>
          <w:t>1.0 Purpose of the transitional housing guidelines</w:t>
        </w:r>
        <w:r>
          <w:rPr>
            <w:noProof/>
            <w:webHidden/>
          </w:rPr>
          <w:tab/>
        </w:r>
        <w:r>
          <w:rPr>
            <w:noProof/>
            <w:webHidden/>
          </w:rPr>
          <w:fldChar w:fldCharType="begin"/>
        </w:r>
        <w:r>
          <w:rPr>
            <w:noProof/>
            <w:webHidden/>
          </w:rPr>
          <w:instrText xml:space="preserve"> PAGEREF _Toc208995889 \h </w:instrText>
        </w:r>
        <w:r>
          <w:rPr>
            <w:noProof/>
            <w:webHidden/>
          </w:rPr>
        </w:r>
        <w:r>
          <w:rPr>
            <w:noProof/>
            <w:webHidden/>
          </w:rPr>
          <w:fldChar w:fldCharType="separate"/>
        </w:r>
        <w:r w:rsidR="001D2B52">
          <w:rPr>
            <w:noProof/>
            <w:webHidden/>
          </w:rPr>
          <w:t>5</w:t>
        </w:r>
        <w:r>
          <w:rPr>
            <w:noProof/>
            <w:webHidden/>
          </w:rPr>
          <w:fldChar w:fldCharType="end"/>
        </w:r>
      </w:hyperlink>
    </w:p>
    <w:p w14:paraId="30BA37AA" w14:textId="72E03817" w:rsidR="00117F5B" w:rsidRDefault="00117F5B" w:rsidP="00D23A69">
      <w:pPr>
        <w:pStyle w:val="TOC1"/>
        <w:tabs>
          <w:tab w:val="right" w:leader="dot" w:pos="9016"/>
        </w:tabs>
        <w:spacing w:line="274" w:lineRule="auto"/>
        <w:rPr>
          <w:noProof/>
        </w:rPr>
      </w:pPr>
      <w:hyperlink w:anchor="_Toc208995890" w:history="1">
        <w:r w:rsidRPr="006A7F75">
          <w:rPr>
            <w:rStyle w:val="Hyperlink"/>
            <w:noProof/>
          </w:rPr>
          <w:t>2.0 Roles and responsibilities</w:t>
        </w:r>
        <w:r>
          <w:rPr>
            <w:noProof/>
            <w:webHidden/>
          </w:rPr>
          <w:tab/>
        </w:r>
        <w:r>
          <w:rPr>
            <w:noProof/>
            <w:webHidden/>
          </w:rPr>
          <w:fldChar w:fldCharType="begin"/>
        </w:r>
        <w:r>
          <w:rPr>
            <w:noProof/>
            <w:webHidden/>
          </w:rPr>
          <w:instrText xml:space="preserve"> PAGEREF _Toc208995890 \h </w:instrText>
        </w:r>
        <w:r>
          <w:rPr>
            <w:noProof/>
            <w:webHidden/>
          </w:rPr>
        </w:r>
        <w:r>
          <w:rPr>
            <w:noProof/>
            <w:webHidden/>
          </w:rPr>
          <w:fldChar w:fldCharType="separate"/>
        </w:r>
        <w:r w:rsidR="001D2B52">
          <w:rPr>
            <w:noProof/>
            <w:webHidden/>
          </w:rPr>
          <w:t>5</w:t>
        </w:r>
        <w:r>
          <w:rPr>
            <w:noProof/>
            <w:webHidden/>
          </w:rPr>
          <w:fldChar w:fldCharType="end"/>
        </w:r>
      </w:hyperlink>
    </w:p>
    <w:p w14:paraId="72F64215" w14:textId="1D4FC884" w:rsidR="00117F5B" w:rsidRDefault="00117F5B" w:rsidP="00D23A69">
      <w:pPr>
        <w:pStyle w:val="TOC1"/>
        <w:tabs>
          <w:tab w:val="right" w:leader="dot" w:pos="9016"/>
        </w:tabs>
        <w:spacing w:line="274" w:lineRule="auto"/>
        <w:rPr>
          <w:noProof/>
        </w:rPr>
      </w:pPr>
      <w:hyperlink w:anchor="_Toc208995891" w:history="1">
        <w:r w:rsidRPr="006A7F75">
          <w:rPr>
            <w:rStyle w:val="Hyperlink"/>
            <w:noProof/>
          </w:rPr>
          <w:t>3.0 Providing a transitional housing service</w:t>
        </w:r>
        <w:r>
          <w:rPr>
            <w:noProof/>
            <w:webHidden/>
          </w:rPr>
          <w:tab/>
        </w:r>
        <w:r>
          <w:rPr>
            <w:noProof/>
            <w:webHidden/>
          </w:rPr>
          <w:fldChar w:fldCharType="begin"/>
        </w:r>
        <w:r>
          <w:rPr>
            <w:noProof/>
            <w:webHidden/>
          </w:rPr>
          <w:instrText xml:space="preserve"> PAGEREF _Toc208995891 \h </w:instrText>
        </w:r>
        <w:r>
          <w:rPr>
            <w:noProof/>
            <w:webHidden/>
          </w:rPr>
        </w:r>
        <w:r>
          <w:rPr>
            <w:noProof/>
            <w:webHidden/>
          </w:rPr>
          <w:fldChar w:fldCharType="separate"/>
        </w:r>
        <w:r w:rsidR="001D2B52">
          <w:rPr>
            <w:noProof/>
            <w:webHidden/>
          </w:rPr>
          <w:t>7</w:t>
        </w:r>
        <w:r>
          <w:rPr>
            <w:noProof/>
            <w:webHidden/>
          </w:rPr>
          <w:fldChar w:fldCharType="end"/>
        </w:r>
      </w:hyperlink>
    </w:p>
    <w:p w14:paraId="6C520AD9" w14:textId="4EDE8622"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892" w:history="1">
        <w:r w:rsidRPr="006A7F75">
          <w:rPr>
            <w:rStyle w:val="Hyperlink"/>
            <w:noProof/>
          </w:rPr>
          <w:t>3.1 Properties and places</w:t>
        </w:r>
        <w:r>
          <w:rPr>
            <w:noProof/>
            <w:webHidden/>
          </w:rPr>
          <w:tab/>
        </w:r>
        <w:r>
          <w:rPr>
            <w:noProof/>
            <w:webHidden/>
          </w:rPr>
          <w:fldChar w:fldCharType="begin"/>
        </w:r>
        <w:r>
          <w:rPr>
            <w:noProof/>
            <w:webHidden/>
          </w:rPr>
          <w:instrText xml:space="preserve"> PAGEREF _Toc208995892 \h </w:instrText>
        </w:r>
        <w:r>
          <w:rPr>
            <w:noProof/>
            <w:webHidden/>
          </w:rPr>
        </w:r>
        <w:r>
          <w:rPr>
            <w:noProof/>
            <w:webHidden/>
          </w:rPr>
          <w:fldChar w:fldCharType="separate"/>
        </w:r>
        <w:r w:rsidR="001D2B52">
          <w:rPr>
            <w:noProof/>
            <w:webHidden/>
          </w:rPr>
          <w:t>7</w:t>
        </w:r>
        <w:r>
          <w:rPr>
            <w:noProof/>
            <w:webHidden/>
          </w:rPr>
          <w:fldChar w:fldCharType="end"/>
        </w:r>
      </w:hyperlink>
    </w:p>
    <w:p w14:paraId="22772457" w14:textId="190779F1"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893" w:history="1">
        <w:r w:rsidRPr="006A7F75">
          <w:rPr>
            <w:rStyle w:val="Hyperlink"/>
            <w:noProof/>
          </w:rPr>
          <w:t>Substituting properties</w:t>
        </w:r>
        <w:r>
          <w:rPr>
            <w:noProof/>
            <w:webHidden/>
          </w:rPr>
          <w:tab/>
        </w:r>
        <w:r>
          <w:rPr>
            <w:noProof/>
            <w:webHidden/>
          </w:rPr>
          <w:fldChar w:fldCharType="begin"/>
        </w:r>
        <w:r>
          <w:rPr>
            <w:noProof/>
            <w:webHidden/>
          </w:rPr>
          <w:instrText xml:space="preserve"> PAGEREF _Toc208995893 \h </w:instrText>
        </w:r>
        <w:r>
          <w:rPr>
            <w:noProof/>
            <w:webHidden/>
          </w:rPr>
        </w:r>
        <w:r>
          <w:rPr>
            <w:noProof/>
            <w:webHidden/>
          </w:rPr>
          <w:fldChar w:fldCharType="separate"/>
        </w:r>
        <w:r w:rsidR="001D2B52">
          <w:rPr>
            <w:noProof/>
            <w:webHidden/>
          </w:rPr>
          <w:t>7</w:t>
        </w:r>
        <w:r>
          <w:rPr>
            <w:noProof/>
            <w:webHidden/>
          </w:rPr>
          <w:fldChar w:fldCharType="end"/>
        </w:r>
      </w:hyperlink>
    </w:p>
    <w:p w14:paraId="4FB9DAAC" w14:textId="2838B8AB"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894" w:history="1">
        <w:r w:rsidRPr="006A7F75">
          <w:rPr>
            <w:rStyle w:val="Hyperlink"/>
            <w:noProof/>
          </w:rPr>
          <w:t>Changes to a property’s market rent</w:t>
        </w:r>
        <w:r>
          <w:rPr>
            <w:noProof/>
            <w:webHidden/>
          </w:rPr>
          <w:tab/>
        </w:r>
        <w:r>
          <w:rPr>
            <w:noProof/>
            <w:webHidden/>
          </w:rPr>
          <w:fldChar w:fldCharType="begin"/>
        </w:r>
        <w:r>
          <w:rPr>
            <w:noProof/>
            <w:webHidden/>
          </w:rPr>
          <w:instrText xml:space="preserve"> PAGEREF _Toc208995894 \h </w:instrText>
        </w:r>
        <w:r>
          <w:rPr>
            <w:noProof/>
            <w:webHidden/>
          </w:rPr>
        </w:r>
        <w:r>
          <w:rPr>
            <w:noProof/>
            <w:webHidden/>
          </w:rPr>
          <w:fldChar w:fldCharType="separate"/>
        </w:r>
        <w:r w:rsidR="001D2B52">
          <w:rPr>
            <w:noProof/>
            <w:webHidden/>
          </w:rPr>
          <w:t>7</w:t>
        </w:r>
        <w:r>
          <w:rPr>
            <w:noProof/>
            <w:webHidden/>
          </w:rPr>
          <w:fldChar w:fldCharType="end"/>
        </w:r>
      </w:hyperlink>
    </w:p>
    <w:p w14:paraId="2806D3C0" w14:textId="307F4638"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895" w:history="1">
        <w:r w:rsidRPr="006A7F75">
          <w:rPr>
            <w:rStyle w:val="Hyperlink"/>
            <w:noProof/>
          </w:rPr>
          <w:t>3.2 Vacancies and the temporary housing vacancy management tool</w:t>
        </w:r>
        <w:r>
          <w:rPr>
            <w:noProof/>
            <w:webHidden/>
          </w:rPr>
          <w:tab/>
        </w:r>
        <w:r>
          <w:rPr>
            <w:noProof/>
            <w:webHidden/>
          </w:rPr>
          <w:fldChar w:fldCharType="begin"/>
        </w:r>
        <w:r>
          <w:rPr>
            <w:noProof/>
            <w:webHidden/>
          </w:rPr>
          <w:instrText xml:space="preserve"> PAGEREF _Toc208995895 \h </w:instrText>
        </w:r>
        <w:r>
          <w:rPr>
            <w:noProof/>
            <w:webHidden/>
          </w:rPr>
        </w:r>
        <w:r>
          <w:rPr>
            <w:noProof/>
            <w:webHidden/>
          </w:rPr>
          <w:fldChar w:fldCharType="separate"/>
        </w:r>
        <w:r w:rsidR="001D2B52">
          <w:rPr>
            <w:noProof/>
            <w:webHidden/>
          </w:rPr>
          <w:t>8</w:t>
        </w:r>
        <w:r>
          <w:rPr>
            <w:noProof/>
            <w:webHidden/>
          </w:rPr>
          <w:fldChar w:fldCharType="end"/>
        </w:r>
      </w:hyperlink>
    </w:p>
    <w:p w14:paraId="28F6295E" w14:textId="1FE58448"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896" w:history="1">
        <w:r w:rsidRPr="006A7F75">
          <w:rPr>
            <w:rStyle w:val="Hyperlink"/>
            <w:noProof/>
          </w:rPr>
          <w:t>3.3 Referrals to your service</w:t>
        </w:r>
        <w:r>
          <w:rPr>
            <w:noProof/>
            <w:webHidden/>
          </w:rPr>
          <w:tab/>
        </w:r>
        <w:r>
          <w:rPr>
            <w:noProof/>
            <w:webHidden/>
          </w:rPr>
          <w:fldChar w:fldCharType="begin"/>
        </w:r>
        <w:r>
          <w:rPr>
            <w:noProof/>
            <w:webHidden/>
          </w:rPr>
          <w:instrText xml:space="preserve"> PAGEREF _Toc208995896 \h </w:instrText>
        </w:r>
        <w:r>
          <w:rPr>
            <w:noProof/>
            <w:webHidden/>
          </w:rPr>
        </w:r>
        <w:r>
          <w:rPr>
            <w:noProof/>
            <w:webHidden/>
          </w:rPr>
          <w:fldChar w:fldCharType="separate"/>
        </w:r>
        <w:r w:rsidR="001D2B52">
          <w:rPr>
            <w:noProof/>
            <w:webHidden/>
          </w:rPr>
          <w:t>8</w:t>
        </w:r>
        <w:r>
          <w:rPr>
            <w:noProof/>
            <w:webHidden/>
          </w:rPr>
          <w:fldChar w:fldCharType="end"/>
        </w:r>
      </w:hyperlink>
    </w:p>
    <w:p w14:paraId="069DD2F8" w14:textId="3973D32D"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897" w:history="1">
        <w:r w:rsidRPr="006A7F75">
          <w:rPr>
            <w:rStyle w:val="Hyperlink"/>
            <w:noProof/>
          </w:rPr>
          <w:t>Key requirements</w:t>
        </w:r>
        <w:r>
          <w:rPr>
            <w:noProof/>
            <w:webHidden/>
          </w:rPr>
          <w:tab/>
        </w:r>
        <w:r>
          <w:rPr>
            <w:noProof/>
            <w:webHidden/>
          </w:rPr>
          <w:fldChar w:fldCharType="begin"/>
        </w:r>
        <w:r>
          <w:rPr>
            <w:noProof/>
            <w:webHidden/>
          </w:rPr>
          <w:instrText xml:space="preserve"> PAGEREF _Toc208995897 \h </w:instrText>
        </w:r>
        <w:r>
          <w:rPr>
            <w:noProof/>
            <w:webHidden/>
          </w:rPr>
        </w:r>
        <w:r>
          <w:rPr>
            <w:noProof/>
            <w:webHidden/>
          </w:rPr>
          <w:fldChar w:fldCharType="separate"/>
        </w:r>
        <w:r w:rsidR="001D2B52">
          <w:rPr>
            <w:noProof/>
            <w:webHidden/>
          </w:rPr>
          <w:t>8</w:t>
        </w:r>
        <w:r>
          <w:rPr>
            <w:noProof/>
            <w:webHidden/>
          </w:rPr>
          <w:fldChar w:fldCharType="end"/>
        </w:r>
      </w:hyperlink>
    </w:p>
    <w:p w14:paraId="6FB32312" w14:textId="7901D3D9"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898" w:history="1">
        <w:r w:rsidRPr="006A7F75">
          <w:rPr>
            <w:rStyle w:val="Hyperlink"/>
            <w:noProof/>
          </w:rPr>
          <w:t>Assessment process for MSD referrals</w:t>
        </w:r>
        <w:r>
          <w:rPr>
            <w:noProof/>
            <w:webHidden/>
          </w:rPr>
          <w:tab/>
        </w:r>
        <w:r>
          <w:rPr>
            <w:noProof/>
            <w:webHidden/>
          </w:rPr>
          <w:fldChar w:fldCharType="begin"/>
        </w:r>
        <w:r>
          <w:rPr>
            <w:noProof/>
            <w:webHidden/>
          </w:rPr>
          <w:instrText xml:space="preserve"> PAGEREF _Toc208995898 \h </w:instrText>
        </w:r>
        <w:r>
          <w:rPr>
            <w:noProof/>
            <w:webHidden/>
          </w:rPr>
        </w:r>
        <w:r>
          <w:rPr>
            <w:noProof/>
            <w:webHidden/>
          </w:rPr>
          <w:fldChar w:fldCharType="separate"/>
        </w:r>
        <w:r w:rsidR="001D2B52">
          <w:rPr>
            <w:noProof/>
            <w:webHidden/>
          </w:rPr>
          <w:t>9</w:t>
        </w:r>
        <w:r>
          <w:rPr>
            <w:noProof/>
            <w:webHidden/>
          </w:rPr>
          <w:fldChar w:fldCharType="end"/>
        </w:r>
      </w:hyperlink>
    </w:p>
    <w:p w14:paraId="46556578" w14:textId="70E1B3C4"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899" w:history="1">
        <w:r w:rsidRPr="006A7F75">
          <w:rPr>
            <w:rStyle w:val="Hyperlink"/>
            <w:noProof/>
          </w:rPr>
          <w:t>Valid reasons for declining MSD referrals</w:t>
        </w:r>
        <w:r>
          <w:rPr>
            <w:noProof/>
            <w:webHidden/>
          </w:rPr>
          <w:tab/>
        </w:r>
        <w:r>
          <w:rPr>
            <w:noProof/>
            <w:webHidden/>
          </w:rPr>
          <w:fldChar w:fldCharType="begin"/>
        </w:r>
        <w:r>
          <w:rPr>
            <w:noProof/>
            <w:webHidden/>
          </w:rPr>
          <w:instrText xml:space="preserve"> PAGEREF _Toc208995899 \h </w:instrText>
        </w:r>
        <w:r>
          <w:rPr>
            <w:noProof/>
            <w:webHidden/>
          </w:rPr>
        </w:r>
        <w:r>
          <w:rPr>
            <w:noProof/>
            <w:webHidden/>
          </w:rPr>
          <w:fldChar w:fldCharType="separate"/>
        </w:r>
        <w:r w:rsidR="001D2B52">
          <w:rPr>
            <w:noProof/>
            <w:webHidden/>
          </w:rPr>
          <w:t>9</w:t>
        </w:r>
        <w:r>
          <w:rPr>
            <w:noProof/>
            <w:webHidden/>
          </w:rPr>
          <w:fldChar w:fldCharType="end"/>
        </w:r>
      </w:hyperlink>
    </w:p>
    <w:p w14:paraId="55229737" w14:textId="48A9F5BE"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00" w:history="1">
        <w:r w:rsidRPr="006A7F75">
          <w:rPr>
            <w:rStyle w:val="Hyperlink"/>
            <w:noProof/>
          </w:rPr>
          <w:t>Managing referrals in the THVM</w:t>
        </w:r>
        <w:r>
          <w:rPr>
            <w:noProof/>
            <w:webHidden/>
          </w:rPr>
          <w:tab/>
        </w:r>
        <w:r>
          <w:rPr>
            <w:noProof/>
            <w:webHidden/>
          </w:rPr>
          <w:fldChar w:fldCharType="begin"/>
        </w:r>
        <w:r>
          <w:rPr>
            <w:noProof/>
            <w:webHidden/>
          </w:rPr>
          <w:instrText xml:space="preserve"> PAGEREF _Toc208995900 \h </w:instrText>
        </w:r>
        <w:r>
          <w:rPr>
            <w:noProof/>
            <w:webHidden/>
          </w:rPr>
        </w:r>
        <w:r>
          <w:rPr>
            <w:noProof/>
            <w:webHidden/>
          </w:rPr>
          <w:fldChar w:fldCharType="separate"/>
        </w:r>
        <w:r w:rsidR="001D2B52">
          <w:rPr>
            <w:noProof/>
            <w:webHidden/>
          </w:rPr>
          <w:t>9</w:t>
        </w:r>
        <w:r>
          <w:rPr>
            <w:noProof/>
            <w:webHidden/>
          </w:rPr>
          <w:fldChar w:fldCharType="end"/>
        </w:r>
      </w:hyperlink>
    </w:p>
    <w:p w14:paraId="2B100507" w14:textId="1BCF7618"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01" w:history="1">
        <w:r w:rsidRPr="006A7F75">
          <w:rPr>
            <w:rStyle w:val="Hyperlink"/>
            <w:noProof/>
          </w:rPr>
          <w:t>Third-party and self-referrals</w:t>
        </w:r>
        <w:r>
          <w:rPr>
            <w:noProof/>
            <w:webHidden/>
          </w:rPr>
          <w:tab/>
        </w:r>
        <w:r>
          <w:rPr>
            <w:noProof/>
            <w:webHidden/>
          </w:rPr>
          <w:fldChar w:fldCharType="begin"/>
        </w:r>
        <w:r>
          <w:rPr>
            <w:noProof/>
            <w:webHidden/>
          </w:rPr>
          <w:instrText xml:space="preserve"> PAGEREF _Toc208995901 \h </w:instrText>
        </w:r>
        <w:r>
          <w:rPr>
            <w:noProof/>
            <w:webHidden/>
          </w:rPr>
        </w:r>
        <w:r>
          <w:rPr>
            <w:noProof/>
            <w:webHidden/>
          </w:rPr>
          <w:fldChar w:fldCharType="separate"/>
        </w:r>
        <w:r w:rsidR="001D2B52">
          <w:rPr>
            <w:noProof/>
            <w:webHidden/>
          </w:rPr>
          <w:t>10</w:t>
        </w:r>
        <w:r>
          <w:rPr>
            <w:noProof/>
            <w:webHidden/>
          </w:rPr>
          <w:fldChar w:fldCharType="end"/>
        </w:r>
      </w:hyperlink>
    </w:p>
    <w:p w14:paraId="209DB489" w14:textId="58A154F8"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02" w:history="1">
        <w:r w:rsidRPr="006A7F75">
          <w:rPr>
            <w:rStyle w:val="Hyperlink"/>
            <w:noProof/>
          </w:rPr>
          <w:t>3.4 At the start of a stay</w:t>
        </w:r>
        <w:r>
          <w:rPr>
            <w:noProof/>
            <w:webHidden/>
          </w:rPr>
          <w:tab/>
        </w:r>
        <w:r>
          <w:rPr>
            <w:noProof/>
            <w:webHidden/>
          </w:rPr>
          <w:fldChar w:fldCharType="begin"/>
        </w:r>
        <w:r>
          <w:rPr>
            <w:noProof/>
            <w:webHidden/>
          </w:rPr>
          <w:instrText xml:space="preserve"> PAGEREF _Toc208995902 \h </w:instrText>
        </w:r>
        <w:r>
          <w:rPr>
            <w:noProof/>
            <w:webHidden/>
          </w:rPr>
        </w:r>
        <w:r>
          <w:rPr>
            <w:noProof/>
            <w:webHidden/>
          </w:rPr>
          <w:fldChar w:fldCharType="separate"/>
        </w:r>
        <w:r w:rsidR="001D2B52">
          <w:rPr>
            <w:noProof/>
            <w:webHidden/>
          </w:rPr>
          <w:t>11</w:t>
        </w:r>
        <w:r>
          <w:rPr>
            <w:noProof/>
            <w:webHidden/>
          </w:rPr>
          <w:fldChar w:fldCharType="end"/>
        </w:r>
      </w:hyperlink>
    </w:p>
    <w:p w14:paraId="5D23C130" w14:textId="656BE5E2"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03" w:history="1">
        <w:r w:rsidRPr="006A7F75">
          <w:rPr>
            <w:rStyle w:val="Hyperlink"/>
            <w:noProof/>
          </w:rPr>
          <w:t>Household contribution for transitional housing services</w:t>
        </w:r>
        <w:r>
          <w:rPr>
            <w:noProof/>
            <w:webHidden/>
          </w:rPr>
          <w:tab/>
        </w:r>
        <w:r>
          <w:rPr>
            <w:noProof/>
            <w:webHidden/>
          </w:rPr>
          <w:fldChar w:fldCharType="begin"/>
        </w:r>
        <w:r>
          <w:rPr>
            <w:noProof/>
            <w:webHidden/>
          </w:rPr>
          <w:instrText xml:space="preserve"> PAGEREF _Toc208995903 \h </w:instrText>
        </w:r>
        <w:r>
          <w:rPr>
            <w:noProof/>
            <w:webHidden/>
          </w:rPr>
        </w:r>
        <w:r>
          <w:rPr>
            <w:noProof/>
            <w:webHidden/>
          </w:rPr>
          <w:fldChar w:fldCharType="separate"/>
        </w:r>
        <w:r w:rsidR="001D2B52">
          <w:rPr>
            <w:noProof/>
            <w:webHidden/>
          </w:rPr>
          <w:t>11</w:t>
        </w:r>
        <w:r>
          <w:rPr>
            <w:noProof/>
            <w:webHidden/>
          </w:rPr>
          <w:fldChar w:fldCharType="end"/>
        </w:r>
      </w:hyperlink>
    </w:p>
    <w:p w14:paraId="3FB72AF9" w14:textId="39A56875"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04" w:history="1">
        <w:r w:rsidRPr="006A7F75">
          <w:rPr>
            <w:rStyle w:val="Hyperlink"/>
            <w:noProof/>
          </w:rPr>
          <w:t>Utilities and additional charges</w:t>
        </w:r>
        <w:r>
          <w:rPr>
            <w:noProof/>
            <w:webHidden/>
          </w:rPr>
          <w:tab/>
        </w:r>
        <w:r>
          <w:rPr>
            <w:noProof/>
            <w:webHidden/>
          </w:rPr>
          <w:fldChar w:fldCharType="begin"/>
        </w:r>
        <w:r>
          <w:rPr>
            <w:noProof/>
            <w:webHidden/>
          </w:rPr>
          <w:instrText xml:space="preserve"> PAGEREF _Toc208995904 \h </w:instrText>
        </w:r>
        <w:r>
          <w:rPr>
            <w:noProof/>
            <w:webHidden/>
          </w:rPr>
        </w:r>
        <w:r>
          <w:rPr>
            <w:noProof/>
            <w:webHidden/>
          </w:rPr>
          <w:fldChar w:fldCharType="separate"/>
        </w:r>
        <w:r w:rsidR="001D2B52">
          <w:rPr>
            <w:noProof/>
            <w:webHidden/>
          </w:rPr>
          <w:t>12</w:t>
        </w:r>
        <w:r>
          <w:rPr>
            <w:noProof/>
            <w:webHidden/>
          </w:rPr>
          <w:fldChar w:fldCharType="end"/>
        </w:r>
      </w:hyperlink>
    </w:p>
    <w:p w14:paraId="70F878CE" w14:textId="6E3350F0" w:rsidR="00117F5B" w:rsidRDefault="00117F5B" w:rsidP="00D23A69">
      <w:pPr>
        <w:pStyle w:val="TOC1"/>
        <w:tabs>
          <w:tab w:val="right" w:leader="dot" w:pos="9016"/>
        </w:tabs>
        <w:spacing w:line="274" w:lineRule="auto"/>
        <w:rPr>
          <w:noProof/>
        </w:rPr>
      </w:pPr>
      <w:hyperlink w:anchor="_Toc208995905" w:history="1">
        <w:r w:rsidRPr="006A7F75">
          <w:rPr>
            <w:rStyle w:val="Hyperlink"/>
            <w:noProof/>
          </w:rPr>
          <w:t>4.0 Supporting a transitional housing stay</w:t>
        </w:r>
        <w:r>
          <w:rPr>
            <w:noProof/>
            <w:webHidden/>
          </w:rPr>
          <w:tab/>
        </w:r>
        <w:r>
          <w:rPr>
            <w:noProof/>
            <w:webHidden/>
          </w:rPr>
          <w:fldChar w:fldCharType="begin"/>
        </w:r>
        <w:r>
          <w:rPr>
            <w:noProof/>
            <w:webHidden/>
          </w:rPr>
          <w:instrText xml:space="preserve"> PAGEREF _Toc208995905 \h </w:instrText>
        </w:r>
        <w:r>
          <w:rPr>
            <w:noProof/>
            <w:webHidden/>
          </w:rPr>
        </w:r>
        <w:r>
          <w:rPr>
            <w:noProof/>
            <w:webHidden/>
          </w:rPr>
          <w:fldChar w:fldCharType="separate"/>
        </w:r>
        <w:r w:rsidR="001D2B52">
          <w:rPr>
            <w:noProof/>
            <w:webHidden/>
          </w:rPr>
          <w:t>12</w:t>
        </w:r>
        <w:r>
          <w:rPr>
            <w:noProof/>
            <w:webHidden/>
          </w:rPr>
          <w:fldChar w:fldCharType="end"/>
        </w:r>
      </w:hyperlink>
    </w:p>
    <w:p w14:paraId="073F7BB0" w14:textId="685299AD" w:rsidR="00117F5B" w:rsidRDefault="00117F5B" w:rsidP="00D23A69">
      <w:pPr>
        <w:pStyle w:val="TOC1"/>
        <w:tabs>
          <w:tab w:val="right" w:leader="dot" w:pos="9016"/>
        </w:tabs>
        <w:spacing w:line="274" w:lineRule="auto"/>
        <w:rPr>
          <w:noProof/>
        </w:rPr>
      </w:pPr>
      <w:hyperlink w:anchor="_Toc208995906" w:history="1">
        <w:r w:rsidRPr="006A7F75">
          <w:rPr>
            <w:rStyle w:val="Hyperlink"/>
            <w:noProof/>
          </w:rPr>
          <w:t>4.1 Housing agreements</w:t>
        </w:r>
        <w:r>
          <w:rPr>
            <w:noProof/>
            <w:webHidden/>
          </w:rPr>
          <w:tab/>
        </w:r>
        <w:r>
          <w:rPr>
            <w:noProof/>
            <w:webHidden/>
          </w:rPr>
          <w:fldChar w:fldCharType="begin"/>
        </w:r>
        <w:r>
          <w:rPr>
            <w:noProof/>
            <w:webHidden/>
          </w:rPr>
          <w:instrText xml:space="preserve"> PAGEREF _Toc208995906 \h </w:instrText>
        </w:r>
        <w:r>
          <w:rPr>
            <w:noProof/>
            <w:webHidden/>
          </w:rPr>
        </w:r>
        <w:r>
          <w:rPr>
            <w:noProof/>
            <w:webHidden/>
          </w:rPr>
          <w:fldChar w:fldCharType="separate"/>
        </w:r>
        <w:r w:rsidR="001D2B52">
          <w:rPr>
            <w:noProof/>
            <w:webHidden/>
          </w:rPr>
          <w:t>12</w:t>
        </w:r>
        <w:r>
          <w:rPr>
            <w:noProof/>
            <w:webHidden/>
          </w:rPr>
          <w:fldChar w:fldCharType="end"/>
        </w:r>
      </w:hyperlink>
    </w:p>
    <w:p w14:paraId="2978C45D" w14:textId="061F5A5B" w:rsidR="00117F5B" w:rsidRDefault="00117F5B" w:rsidP="00D23A69">
      <w:pPr>
        <w:pStyle w:val="TOC1"/>
        <w:tabs>
          <w:tab w:val="right" w:leader="dot" w:pos="9016"/>
        </w:tabs>
        <w:spacing w:line="274" w:lineRule="auto"/>
        <w:rPr>
          <w:noProof/>
        </w:rPr>
      </w:pPr>
      <w:hyperlink w:anchor="_Toc208995907" w:history="1">
        <w:r w:rsidRPr="006A7F75">
          <w:rPr>
            <w:rStyle w:val="Hyperlink"/>
            <w:noProof/>
          </w:rPr>
          <w:t>4.2 Transition plan</w:t>
        </w:r>
        <w:r>
          <w:rPr>
            <w:noProof/>
            <w:webHidden/>
          </w:rPr>
          <w:tab/>
        </w:r>
        <w:r>
          <w:rPr>
            <w:noProof/>
            <w:webHidden/>
          </w:rPr>
          <w:fldChar w:fldCharType="begin"/>
        </w:r>
        <w:r>
          <w:rPr>
            <w:noProof/>
            <w:webHidden/>
          </w:rPr>
          <w:instrText xml:space="preserve"> PAGEREF _Toc208995907 \h </w:instrText>
        </w:r>
        <w:r>
          <w:rPr>
            <w:noProof/>
            <w:webHidden/>
          </w:rPr>
        </w:r>
        <w:r>
          <w:rPr>
            <w:noProof/>
            <w:webHidden/>
          </w:rPr>
          <w:fldChar w:fldCharType="separate"/>
        </w:r>
        <w:r w:rsidR="001D2B52">
          <w:rPr>
            <w:noProof/>
            <w:webHidden/>
          </w:rPr>
          <w:t>13</w:t>
        </w:r>
        <w:r>
          <w:rPr>
            <w:noProof/>
            <w:webHidden/>
          </w:rPr>
          <w:fldChar w:fldCharType="end"/>
        </w:r>
      </w:hyperlink>
    </w:p>
    <w:p w14:paraId="1911EAD2" w14:textId="37454914"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08" w:history="1">
        <w:r w:rsidRPr="006A7F75">
          <w:rPr>
            <w:rStyle w:val="Hyperlink"/>
            <w:noProof/>
          </w:rPr>
          <w:t>Household assessment</w:t>
        </w:r>
        <w:r>
          <w:rPr>
            <w:noProof/>
            <w:webHidden/>
          </w:rPr>
          <w:tab/>
        </w:r>
        <w:r>
          <w:rPr>
            <w:noProof/>
            <w:webHidden/>
          </w:rPr>
          <w:fldChar w:fldCharType="begin"/>
        </w:r>
        <w:r>
          <w:rPr>
            <w:noProof/>
            <w:webHidden/>
          </w:rPr>
          <w:instrText xml:space="preserve"> PAGEREF _Toc208995908 \h </w:instrText>
        </w:r>
        <w:r>
          <w:rPr>
            <w:noProof/>
            <w:webHidden/>
          </w:rPr>
        </w:r>
        <w:r>
          <w:rPr>
            <w:noProof/>
            <w:webHidden/>
          </w:rPr>
          <w:fldChar w:fldCharType="separate"/>
        </w:r>
        <w:r w:rsidR="001D2B52">
          <w:rPr>
            <w:noProof/>
            <w:webHidden/>
          </w:rPr>
          <w:t>13</w:t>
        </w:r>
        <w:r>
          <w:rPr>
            <w:noProof/>
            <w:webHidden/>
          </w:rPr>
          <w:fldChar w:fldCharType="end"/>
        </w:r>
      </w:hyperlink>
    </w:p>
    <w:p w14:paraId="5F6A3542" w14:textId="68014EE2"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09" w:history="1">
        <w:r w:rsidRPr="006A7F75">
          <w:rPr>
            <w:rStyle w:val="Hyperlink"/>
            <w:noProof/>
          </w:rPr>
          <w:t>Housing goals</w:t>
        </w:r>
        <w:r>
          <w:rPr>
            <w:noProof/>
            <w:webHidden/>
          </w:rPr>
          <w:tab/>
        </w:r>
        <w:r>
          <w:rPr>
            <w:noProof/>
            <w:webHidden/>
          </w:rPr>
          <w:fldChar w:fldCharType="begin"/>
        </w:r>
        <w:r>
          <w:rPr>
            <w:noProof/>
            <w:webHidden/>
          </w:rPr>
          <w:instrText xml:space="preserve"> PAGEREF _Toc208995909 \h </w:instrText>
        </w:r>
        <w:r>
          <w:rPr>
            <w:noProof/>
            <w:webHidden/>
          </w:rPr>
        </w:r>
        <w:r>
          <w:rPr>
            <w:noProof/>
            <w:webHidden/>
          </w:rPr>
          <w:fldChar w:fldCharType="separate"/>
        </w:r>
        <w:r w:rsidR="001D2B52">
          <w:rPr>
            <w:noProof/>
            <w:webHidden/>
          </w:rPr>
          <w:t>13</w:t>
        </w:r>
        <w:r>
          <w:rPr>
            <w:noProof/>
            <w:webHidden/>
          </w:rPr>
          <w:fldChar w:fldCharType="end"/>
        </w:r>
      </w:hyperlink>
    </w:p>
    <w:p w14:paraId="0889FCF2" w14:textId="6B9C109B"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10" w:history="1">
        <w:r w:rsidRPr="006A7F75">
          <w:rPr>
            <w:rStyle w:val="Hyperlink"/>
            <w:noProof/>
          </w:rPr>
          <w:t>Action plan</w:t>
        </w:r>
        <w:r>
          <w:rPr>
            <w:noProof/>
            <w:webHidden/>
          </w:rPr>
          <w:tab/>
        </w:r>
        <w:r>
          <w:rPr>
            <w:noProof/>
            <w:webHidden/>
          </w:rPr>
          <w:fldChar w:fldCharType="begin"/>
        </w:r>
        <w:r>
          <w:rPr>
            <w:noProof/>
            <w:webHidden/>
          </w:rPr>
          <w:instrText xml:space="preserve"> PAGEREF _Toc208995910 \h </w:instrText>
        </w:r>
        <w:r>
          <w:rPr>
            <w:noProof/>
            <w:webHidden/>
          </w:rPr>
        </w:r>
        <w:r>
          <w:rPr>
            <w:noProof/>
            <w:webHidden/>
          </w:rPr>
          <w:fldChar w:fldCharType="separate"/>
        </w:r>
        <w:r w:rsidR="001D2B52">
          <w:rPr>
            <w:noProof/>
            <w:webHidden/>
          </w:rPr>
          <w:t>13</w:t>
        </w:r>
        <w:r>
          <w:rPr>
            <w:noProof/>
            <w:webHidden/>
          </w:rPr>
          <w:fldChar w:fldCharType="end"/>
        </w:r>
      </w:hyperlink>
    </w:p>
    <w:p w14:paraId="30B98CD5" w14:textId="2E256C73"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11" w:history="1">
        <w:r w:rsidRPr="006A7F75">
          <w:rPr>
            <w:rStyle w:val="Hyperlink"/>
            <w:noProof/>
          </w:rPr>
          <w:t>Progress monitoring</w:t>
        </w:r>
        <w:r>
          <w:rPr>
            <w:noProof/>
            <w:webHidden/>
          </w:rPr>
          <w:tab/>
        </w:r>
        <w:r>
          <w:rPr>
            <w:noProof/>
            <w:webHidden/>
          </w:rPr>
          <w:fldChar w:fldCharType="begin"/>
        </w:r>
        <w:r>
          <w:rPr>
            <w:noProof/>
            <w:webHidden/>
          </w:rPr>
          <w:instrText xml:space="preserve"> PAGEREF _Toc208995911 \h </w:instrText>
        </w:r>
        <w:r>
          <w:rPr>
            <w:noProof/>
            <w:webHidden/>
          </w:rPr>
        </w:r>
        <w:r>
          <w:rPr>
            <w:noProof/>
            <w:webHidden/>
          </w:rPr>
          <w:fldChar w:fldCharType="separate"/>
        </w:r>
        <w:r w:rsidR="001D2B52">
          <w:rPr>
            <w:noProof/>
            <w:webHidden/>
          </w:rPr>
          <w:t>14</w:t>
        </w:r>
        <w:r>
          <w:rPr>
            <w:noProof/>
            <w:webHidden/>
          </w:rPr>
          <w:fldChar w:fldCharType="end"/>
        </w:r>
      </w:hyperlink>
    </w:p>
    <w:p w14:paraId="595C94B4" w14:textId="1466685F" w:rsidR="00117F5B" w:rsidRDefault="00117F5B" w:rsidP="00D23A69">
      <w:pPr>
        <w:pStyle w:val="TOC1"/>
        <w:tabs>
          <w:tab w:val="right" w:leader="dot" w:pos="9016"/>
        </w:tabs>
        <w:spacing w:line="274" w:lineRule="auto"/>
        <w:rPr>
          <w:noProof/>
        </w:rPr>
      </w:pPr>
      <w:hyperlink w:anchor="_Toc208995912" w:history="1">
        <w:r w:rsidRPr="006A7F75">
          <w:rPr>
            <w:rStyle w:val="Hyperlink"/>
            <w:noProof/>
          </w:rPr>
          <w:t>4.3 Safety and wellbeing</w:t>
        </w:r>
        <w:r>
          <w:rPr>
            <w:noProof/>
            <w:webHidden/>
          </w:rPr>
          <w:tab/>
        </w:r>
        <w:r>
          <w:rPr>
            <w:noProof/>
            <w:webHidden/>
          </w:rPr>
          <w:fldChar w:fldCharType="begin"/>
        </w:r>
        <w:r>
          <w:rPr>
            <w:noProof/>
            <w:webHidden/>
          </w:rPr>
          <w:instrText xml:space="preserve"> PAGEREF _Toc208995912 \h </w:instrText>
        </w:r>
        <w:r>
          <w:rPr>
            <w:noProof/>
            <w:webHidden/>
          </w:rPr>
        </w:r>
        <w:r>
          <w:rPr>
            <w:noProof/>
            <w:webHidden/>
          </w:rPr>
          <w:fldChar w:fldCharType="separate"/>
        </w:r>
        <w:r w:rsidR="001D2B52">
          <w:rPr>
            <w:noProof/>
            <w:webHidden/>
          </w:rPr>
          <w:t>14</w:t>
        </w:r>
        <w:r>
          <w:rPr>
            <w:noProof/>
            <w:webHidden/>
          </w:rPr>
          <w:fldChar w:fldCharType="end"/>
        </w:r>
      </w:hyperlink>
    </w:p>
    <w:p w14:paraId="4FC1A89D" w14:textId="721803A6"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13" w:history="1">
        <w:r w:rsidRPr="006A7F75">
          <w:rPr>
            <w:rStyle w:val="Hyperlink"/>
            <w:noProof/>
          </w:rPr>
          <w:t>Health and safety framework</w:t>
        </w:r>
        <w:r>
          <w:rPr>
            <w:noProof/>
            <w:webHidden/>
          </w:rPr>
          <w:tab/>
        </w:r>
        <w:r>
          <w:rPr>
            <w:noProof/>
            <w:webHidden/>
          </w:rPr>
          <w:fldChar w:fldCharType="begin"/>
        </w:r>
        <w:r>
          <w:rPr>
            <w:noProof/>
            <w:webHidden/>
          </w:rPr>
          <w:instrText xml:space="preserve"> PAGEREF _Toc208995913 \h </w:instrText>
        </w:r>
        <w:r>
          <w:rPr>
            <w:noProof/>
            <w:webHidden/>
          </w:rPr>
        </w:r>
        <w:r>
          <w:rPr>
            <w:noProof/>
            <w:webHidden/>
          </w:rPr>
          <w:fldChar w:fldCharType="separate"/>
        </w:r>
        <w:r w:rsidR="001D2B52">
          <w:rPr>
            <w:noProof/>
            <w:webHidden/>
          </w:rPr>
          <w:t>14</w:t>
        </w:r>
        <w:r>
          <w:rPr>
            <w:noProof/>
            <w:webHidden/>
          </w:rPr>
          <w:fldChar w:fldCharType="end"/>
        </w:r>
      </w:hyperlink>
    </w:p>
    <w:p w14:paraId="536E661A" w14:textId="7395C6F9"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14" w:history="1">
        <w:r w:rsidRPr="006A7F75">
          <w:rPr>
            <w:rStyle w:val="Hyperlink"/>
            <w:noProof/>
          </w:rPr>
          <w:t>Reporting requirements</w:t>
        </w:r>
        <w:r>
          <w:rPr>
            <w:noProof/>
            <w:webHidden/>
          </w:rPr>
          <w:tab/>
        </w:r>
        <w:r>
          <w:rPr>
            <w:noProof/>
            <w:webHidden/>
          </w:rPr>
          <w:fldChar w:fldCharType="begin"/>
        </w:r>
        <w:r>
          <w:rPr>
            <w:noProof/>
            <w:webHidden/>
          </w:rPr>
          <w:instrText xml:space="preserve"> PAGEREF _Toc208995914 \h </w:instrText>
        </w:r>
        <w:r>
          <w:rPr>
            <w:noProof/>
            <w:webHidden/>
          </w:rPr>
        </w:r>
        <w:r>
          <w:rPr>
            <w:noProof/>
            <w:webHidden/>
          </w:rPr>
          <w:fldChar w:fldCharType="separate"/>
        </w:r>
        <w:r w:rsidR="001D2B52">
          <w:rPr>
            <w:noProof/>
            <w:webHidden/>
          </w:rPr>
          <w:t>14</w:t>
        </w:r>
        <w:r>
          <w:rPr>
            <w:noProof/>
            <w:webHidden/>
          </w:rPr>
          <w:fldChar w:fldCharType="end"/>
        </w:r>
      </w:hyperlink>
    </w:p>
    <w:p w14:paraId="4D4FCFD5" w14:textId="5A2C89EC"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15" w:history="1">
        <w:r w:rsidRPr="006A7F75">
          <w:rPr>
            <w:rStyle w:val="Hyperlink"/>
            <w:noProof/>
          </w:rPr>
          <w:t>Class 2 (high or extreme) incidents</w:t>
        </w:r>
        <w:r>
          <w:rPr>
            <w:noProof/>
            <w:webHidden/>
          </w:rPr>
          <w:tab/>
        </w:r>
        <w:r>
          <w:rPr>
            <w:noProof/>
            <w:webHidden/>
          </w:rPr>
          <w:fldChar w:fldCharType="begin"/>
        </w:r>
        <w:r>
          <w:rPr>
            <w:noProof/>
            <w:webHidden/>
          </w:rPr>
          <w:instrText xml:space="preserve"> PAGEREF _Toc208995915 \h </w:instrText>
        </w:r>
        <w:r>
          <w:rPr>
            <w:noProof/>
            <w:webHidden/>
          </w:rPr>
        </w:r>
        <w:r>
          <w:rPr>
            <w:noProof/>
            <w:webHidden/>
          </w:rPr>
          <w:fldChar w:fldCharType="separate"/>
        </w:r>
        <w:r w:rsidR="001D2B52">
          <w:rPr>
            <w:noProof/>
            <w:webHidden/>
          </w:rPr>
          <w:t>14</w:t>
        </w:r>
        <w:r>
          <w:rPr>
            <w:noProof/>
            <w:webHidden/>
          </w:rPr>
          <w:fldChar w:fldCharType="end"/>
        </w:r>
      </w:hyperlink>
    </w:p>
    <w:p w14:paraId="09E4F6CC" w14:textId="28DB9576"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16" w:history="1">
        <w:r w:rsidRPr="006A7F75">
          <w:rPr>
            <w:rStyle w:val="Hyperlink"/>
            <w:noProof/>
          </w:rPr>
          <w:t>Class 1 (low or moderate) incidents</w:t>
        </w:r>
        <w:r>
          <w:rPr>
            <w:noProof/>
            <w:webHidden/>
          </w:rPr>
          <w:tab/>
        </w:r>
        <w:r>
          <w:rPr>
            <w:noProof/>
            <w:webHidden/>
          </w:rPr>
          <w:fldChar w:fldCharType="begin"/>
        </w:r>
        <w:r>
          <w:rPr>
            <w:noProof/>
            <w:webHidden/>
          </w:rPr>
          <w:instrText xml:space="preserve"> PAGEREF _Toc208995916 \h </w:instrText>
        </w:r>
        <w:r>
          <w:rPr>
            <w:noProof/>
            <w:webHidden/>
          </w:rPr>
        </w:r>
        <w:r>
          <w:rPr>
            <w:noProof/>
            <w:webHidden/>
          </w:rPr>
          <w:fldChar w:fldCharType="separate"/>
        </w:r>
        <w:r w:rsidR="001D2B52">
          <w:rPr>
            <w:noProof/>
            <w:webHidden/>
          </w:rPr>
          <w:t>15</w:t>
        </w:r>
        <w:r>
          <w:rPr>
            <w:noProof/>
            <w:webHidden/>
          </w:rPr>
          <w:fldChar w:fldCharType="end"/>
        </w:r>
      </w:hyperlink>
    </w:p>
    <w:p w14:paraId="2FDCB079" w14:textId="0AD01AEC"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17" w:history="1">
        <w:r w:rsidRPr="006A7F75">
          <w:rPr>
            <w:rStyle w:val="Hyperlink"/>
            <w:noProof/>
          </w:rPr>
          <w:t>How to report incidents</w:t>
        </w:r>
        <w:r>
          <w:rPr>
            <w:noProof/>
            <w:webHidden/>
          </w:rPr>
          <w:tab/>
        </w:r>
        <w:r>
          <w:rPr>
            <w:noProof/>
            <w:webHidden/>
          </w:rPr>
          <w:fldChar w:fldCharType="begin"/>
        </w:r>
        <w:r>
          <w:rPr>
            <w:noProof/>
            <w:webHidden/>
          </w:rPr>
          <w:instrText xml:space="preserve"> PAGEREF _Toc208995917 \h </w:instrText>
        </w:r>
        <w:r>
          <w:rPr>
            <w:noProof/>
            <w:webHidden/>
          </w:rPr>
        </w:r>
        <w:r>
          <w:rPr>
            <w:noProof/>
            <w:webHidden/>
          </w:rPr>
          <w:fldChar w:fldCharType="separate"/>
        </w:r>
        <w:r w:rsidR="001D2B52">
          <w:rPr>
            <w:noProof/>
            <w:webHidden/>
          </w:rPr>
          <w:t>15</w:t>
        </w:r>
        <w:r>
          <w:rPr>
            <w:noProof/>
            <w:webHidden/>
          </w:rPr>
          <w:fldChar w:fldCharType="end"/>
        </w:r>
      </w:hyperlink>
    </w:p>
    <w:p w14:paraId="406AECEC" w14:textId="19067DD5"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18" w:history="1">
        <w:r w:rsidRPr="006A7F75">
          <w:rPr>
            <w:rStyle w:val="Hyperlink"/>
            <w:noProof/>
          </w:rPr>
          <w:t>Child protection policy requirements for providers</w:t>
        </w:r>
        <w:r>
          <w:rPr>
            <w:noProof/>
            <w:webHidden/>
          </w:rPr>
          <w:tab/>
        </w:r>
        <w:r>
          <w:rPr>
            <w:noProof/>
            <w:webHidden/>
          </w:rPr>
          <w:fldChar w:fldCharType="begin"/>
        </w:r>
        <w:r>
          <w:rPr>
            <w:noProof/>
            <w:webHidden/>
          </w:rPr>
          <w:instrText xml:space="preserve"> PAGEREF _Toc208995918 \h </w:instrText>
        </w:r>
        <w:r>
          <w:rPr>
            <w:noProof/>
            <w:webHidden/>
          </w:rPr>
        </w:r>
        <w:r>
          <w:rPr>
            <w:noProof/>
            <w:webHidden/>
          </w:rPr>
          <w:fldChar w:fldCharType="separate"/>
        </w:r>
        <w:r w:rsidR="001D2B52">
          <w:rPr>
            <w:noProof/>
            <w:webHidden/>
          </w:rPr>
          <w:t>16</w:t>
        </w:r>
        <w:r>
          <w:rPr>
            <w:noProof/>
            <w:webHidden/>
          </w:rPr>
          <w:fldChar w:fldCharType="end"/>
        </w:r>
      </w:hyperlink>
    </w:p>
    <w:p w14:paraId="610FE0D7" w14:textId="3422DC22"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19" w:history="1">
        <w:r w:rsidRPr="006A7F75">
          <w:rPr>
            <w:rStyle w:val="Hyperlink"/>
            <w:noProof/>
          </w:rPr>
          <w:t>Your child protection policy obligations</w:t>
        </w:r>
        <w:r>
          <w:rPr>
            <w:noProof/>
            <w:webHidden/>
          </w:rPr>
          <w:tab/>
        </w:r>
        <w:r>
          <w:rPr>
            <w:noProof/>
            <w:webHidden/>
          </w:rPr>
          <w:fldChar w:fldCharType="begin"/>
        </w:r>
        <w:r>
          <w:rPr>
            <w:noProof/>
            <w:webHidden/>
          </w:rPr>
          <w:instrText xml:space="preserve"> PAGEREF _Toc208995919 \h </w:instrText>
        </w:r>
        <w:r>
          <w:rPr>
            <w:noProof/>
            <w:webHidden/>
          </w:rPr>
        </w:r>
        <w:r>
          <w:rPr>
            <w:noProof/>
            <w:webHidden/>
          </w:rPr>
          <w:fldChar w:fldCharType="separate"/>
        </w:r>
        <w:r w:rsidR="001D2B52">
          <w:rPr>
            <w:noProof/>
            <w:webHidden/>
          </w:rPr>
          <w:t>16</w:t>
        </w:r>
        <w:r>
          <w:rPr>
            <w:noProof/>
            <w:webHidden/>
          </w:rPr>
          <w:fldChar w:fldCharType="end"/>
        </w:r>
      </w:hyperlink>
    </w:p>
    <w:p w14:paraId="39318068" w14:textId="1BB62EC3"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0" w:history="1">
        <w:r w:rsidRPr="006A7F75">
          <w:rPr>
            <w:rStyle w:val="Hyperlink"/>
            <w:noProof/>
          </w:rPr>
          <w:t>Important notes about child protection policies</w:t>
        </w:r>
        <w:r>
          <w:rPr>
            <w:noProof/>
            <w:webHidden/>
          </w:rPr>
          <w:tab/>
        </w:r>
        <w:r>
          <w:rPr>
            <w:noProof/>
            <w:webHidden/>
          </w:rPr>
          <w:fldChar w:fldCharType="begin"/>
        </w:r>
        <w:r>
          <w:rPr>
            <w:noProof/>
            <w:webHidden/>
          </w:rPr>
          <w:instrText xml:space="preserve"> PAGEREF _Toc208995920 \h </w:instrText>
        </w:r>
        <w:r>
          <w:rPr>
            <w:noProof/>
            <w:webHidden/>
          </w:rPr>
        </w:r>
        <w:r>
          <w:rPr>
            <w:noProof/>
            <w:webHidden/>
          </w:rPr>
          <w:fldChar w:fldCharType="separate"/>
        </w:r>
        <w:r w:rsidR="001D2B52">
          <w:rPr>
            <w:noProof/>
            <w:webHidden/>
          </w:rPr>
          <w:t>16</w:t>
        </w:r>
        <w:r>
          <w:rPr>
            <w:noProof/>
            <w:webHidden/>
          </w:rPr>
          <w:fldChar w:fldCharType="end"/>
        </w:r>
      </w:hyperlink>
    </w:p>
    <w:p w14:paraId="3B17E9A0" w14:textId="67F89F08"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21" w:history="1">
        <w:r w:rsidRPr="006A7F75">
          <w:rPr>
            <w:rStyle w:val="Hyperlink"/>
            <w:noProof/>
          </w:rPr>
          <w:t>Family violence and child protection guidelines</w:t>
        </w:r>
        <w:r>
          <w:rPr>
            <w:noProof/>
            <w:webHidden/>
          </w:rPr>
          <w:tab/>
        </w:r>
        <w:r>
          <w:rPr>
            <w:noProof/>
            <w:webHidden/>
          </w:rPr>
          <w:fldChar w:fldCharType="begin"/>
        </w:r>
        <w:r>
          <w:rPr>
            <w:noProof/>
            <w:webHidden/>
          </w:rPr>
          <w:instrText xml:space="preserve"> PAGEREF _Toc208995921 \h </w:instrText>
        </w:r>
        <w:r>
          <w:rPr>
            <w:noProof/>
            <w:webHidden/>
          </w:rPr>
        </w:r>
        <w:r>
          <w:rPr>
            <w:noProof/>
            <w:webHidden/>
          </w:rPr>
          <w:fldChar w:fldCharType="separate"/>
        </w:r>
        <w:r w:rsidR="001D2B52">
          <w:rPr>
            <w:noProof/>
            <w:webHidden/>
          </w:rPr>
          <w:t>17</w:t>
        </w:r>
        <w:r>
          <w:rPr>
            <w:noProof/>
            <w:webHidden/>
          </w:rPr>
          <w:fldChar w:fldCharType="end"/>
        </w:r>
      </w:hyperlink>
    </w:p>
    <w:p w14:paraId="1F6A82C8" w14:textId="7AA3E6E6"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2" w:history="1">
        <w:r w:rsidRPr="006A7F75">
          <w:rPr>
            <w:rStyle w:val="Hyperlink"/>
            <w:noProof/>
          </w:rPr>
          <w:t>Other support services and referral pathways</w:t>
        </w:r>
        <w:r>
          <w:rPr>
            <w:noProof/>
            <w:webHidden/>
          </w:rPr>
          <w:tab/>
        </w:r>
        <w:r>
          <w:rPr>
            <w:noProof/>
            <w:webHidden/>
          </w:rPr>
          <w:fldChar w:fldCharType="begin"/>
        </w:r>
        <w:r>
          <w:rPr>
            <w:noProof/>
            <w:webHidden/>
          </w:rPr>
          <w:instrText xml:space="preserve"> PAGEREF _Toc208995922 \h </w:instrText>
        </w:r>
        <w:r>
          <w:rPr>
            <w:noProof/>
            <w:webHidden/>
          </w:rPr>
        </w:r>
        <w:r>
          <w:rPr>
            <w:noProof/>
            <w:webHidden/>
          </w:rPr>
          <w:fldChar w:fldCharType="separate"/>
        </w:r>
        <w:r w:rsidR="001D2B52">
          <w:rPr>
            <w:noProof/>
            <w:webHidden/>
          </w:rPr>
          <w:t>17</w:t>
        </w:r>
        <w:r>
          <w:rPr>
            <w:noProof/>
            <w:webHidden/>
          </w:rPr>
          <w:fldChar w:fldCharType="end"/>
        </w:r>
      </w:hyperlink>
    </w:p>
    <w:p w14:paraId="5427FC76" w14:textId="2BB27CC5"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3" w:history="1">
        <w:r w:rsidRPr="006A7F75">
          <w:rPr>
            <w:rStyle w:val="Hyperlink"/>
            <w:noProof/>
          </w:rPr>
          <w:t>Prevention strategies</w:t>
        </w:r>
        <w:r>
          <w:rPr>
            <w:noProof/>
            <w:webHidden/>
          </w:rPr>
          <w:tab/>
        </w:r>
        <w:r>
          <w:rPr>
            <w:noProof/>
            <w:webHidden/>
          </w:rPr>
          <w:fldChar w:fldCharType="begin"/>
        </w:r>
        <w:r>
          <w:rPr>
            <w:noProof/>
            <w:webHidden/>
          </w:rPr>
          <w:instrText xml:space="preserve"> PAGEREF _Toc208995923 \h </w:instrText>
        </w:r>
        <w:r>
          <w:rPr>
            <w:noProof/>
            <w:webHidden/>
          </w:rPr>
        </w:r>
        <w:r>
          <w:rPr>
            <w:noProof/>
            <w:webHidden/>
          </w:rPr>
          <w:fldChar w:fldCharType="separate"/>
        </w:r>
        <w:r w:rsidR="001D2B52">
          <w:rPr>
            <w:noProof/>
            <w:webHidden/>
          </w:rPr>
          <w:t>17</w:t>
        </w:r>
        <w:r>
          <w:rPr>
            <w:noProof/>
            <w:webHidden/>
          </w:rPr>
          <w:fldChar w:fldCharType="end"/>
        </w:r>
      </w:hyperlink>
    </w:p>
    <w:p w14:paraId="1D0D117D" w14:textId="183B5EA0" w:rsidR="00117F5B" w:rsidRDefault="00117F5B" w:rsidP="00D23A69">
      <w:pPr>
        <w:pStyle w:val="TOC1"/>
        <w:tabs>
          <w:tab w:val="right" w:leader="dot" w:pos="9016"/>
        </w:tabs>
        <w:spacing w:line="274" w:lineRule="auto"/>
        <w:rPr>
          <w:noProof/>
        </w:rPr>
      </w:pPr>
      <w:hyperlink w:anchor="_Toc208995924" w:history="1">
        <w:r w:rsidRPr="006A7F75">
          <w:rPr>
            <w:rStyle w:val="Hyperlink"/>
            <w:noProof/>
          </w:rPr>
          <w:t>4.5 Complaints and disputes</w:t>
        </w:r>
        <w:r>
          <w:rPr>
            <w:noProof/>
            <w:webHidden/>
          </w:rPr>
          <w:tab/>
        </w:r>
        <w:r>
          <w:rPr>
            <w:noProof/>
            <w:webHidden/>
          </w:rPr>
          <w:fldChar w:fldCharType="begin"/>
        </w:r>
        <w:r>
          <w:rPr>
            <w:noProof/>
            <w:webHidden/>
          </w:rPr>
          <w:instrText xml:space="preserve"> PAGEREF _Toc208995924 \h </w:instrText>
        </w:r>
        <w:r>
          <w:rPr>
            <w:noProof/>
            <w:webHidden/>
          </w:rPr>
        </w:r>
        <w:r>
          <w:rPr>
            <w:noProof/>
            <w:webHidden/>
          </w:rPr>
          <w:fldChar w:fldCharType="separate"/>
        </w:r>
        <w:r w:rsidR="001D2B52">
          <w:rPr>
            <w:noProof/>
            <w:webHidden/>
          </w:rPr>
          <w:t>17</w:t>
        </w:r>
        <w:r>
          <w:rPr>
            <w:noProof/>
            <w:webHidden/>
          </w:rPr>
          <w:fldChar w:fldCharType="end"/>
        </w:r>
      </w:hyperlink>
    </w:p>
    <w:p w14:paraId="19649AFD" w14:textId="7B5AC112"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25" w:history="1">
        <w:r w:rsidRPr="006A7F75">
          <w:rPr>
            <w:rStyle w:val="Hyperlink"/>
            <w:noProof/>
          </w:rPr>
          <w:t>Independent dispute resolution service</w:t>
        </w:r>
        <w:r>
          <w:rPr>
            <w:noProof/>
            <w:webHidden/>
          </w:rPr>
          <w:tab/>
        </w:r>
        <w:r>
          <w:rPr>
            <w:noProof/>
            <w:webHidden/>
          </w:rPr>
          <w:fldChar w:fldCharType="begin"/>
        </w:r>
        <w:r>
          <w:rPr>
            <w:noProof/>
            <w:webHidden/>
          </w:rPr>
          <w:instrText xml:space="preserve"> PAGEREF _Toc208995925 \h </w:instrText>
        </w:r>
        <w:r>
          <w:rPr>
            <w:noProof/>
            <w:webHidden/>
          </w:rPr>
        </w:r>
        <w:r>
          <w:rPr>
            <w:noProof/>
            <w:webHidden/>
          </w:rPr>
          <w:fldChar w:fldCharType="separate"/>
        </w:r>
        <w:r w:rsidR="001D2B52">
          <w:rPr>
            <w:noProof/>
            <w:webHidden/>
          </w:rPr>
          <w:t>18</w:t>
        </w:r>
        <w:r>
          <w:rPr>
            <w:noProof/>
            <w:webHidden/>
          </w:rPr>
          <w:fldChar w:fldCharType="end"/>
        </w:r>
      </w:hyperlink>
    </w:p>
    <w:p w14:paraId="439AA6B0" w14:textId="7352518B"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6" w:history="1">
        <w:r w:rsidRPr="006A7F75">
          <w:rPr>
            <w:rStyle w:val="Hyperlink"/>
            <w:noProof/>
          </w:rPr>
          <w:t>Scope of service</w:t>
        </w:r>
        <w:r>
          <w:rPr>
            <w:noProof/>
            <w:webHidden/>
          </w:rPr>
          <w:tab/>
        </w:r>
        <w:r>
          <w:rPr>
            <w:noProof/>
            <w:webHidden/>
          </w:rPr>
          <w:fldChar w:fldCharType="begin"/>
        </w:r>
        <w:r>
          <w:rPr>
            <w:noProof/>
            <w:webHidden/>
          </w:rPr>
          <w:instrText xml:space="preserve"> PAGEREF _Toc208995926 \h </w:instrText>
        </w:r>
        <w:r>
          <w:rPr>
            <w:noProof/>
            <w:webHidden/>
          </w:rPr>
        </w:r>
        <w:r>
          <w:rPr>
            <w:noProof/>
            <w:webHidden/>
          </w:rPr>
          <w:fldChar w:fldCharType="separate"/>
        </w:r>
        <w:r w:rsidR="001D2B52">
          <w:rPr>
            <w:noProof/>
            <w:webHidden/>
          </w:rPr>
          <w:t>18</w:t>
        </w:r>
        <w:r>
          <w:rPr>
            <w:noProof/>
            <w:webHidden/>
          </w:rPr>
          <w:fldChar w:fldCharType="end"/>
        </w:r>
      </w:hyperlink>
    </w:p>
    <w:p w14:paraId="1EF9926B" w14:textId="6A532F50"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7" w:history="1">
        <w:r w:rsidRPr="006A7F75">
          <w:rPr>
            <w:rStyle w:val="Hyperlink"/>
            <w:noProof/>
          </w:rPr>
          <w:t>Supporting documents</w:t>
        </w:r>
        <w:r>
          <w:rPr>
            <w:noProof/>
            <w:webHidden/>
          </w:rPr>
          <w:tab/>
        </w:r>
        <w:r>
          <w:rPr>
            <w:noProof/>
            <w:webHidden/>
          </w:rPr>
          <w:fldChar w:fldCharType="begin"/>
        </w:r>
        <w:r>
          <w:rPr>
            <w:noProof/>
            <w:webHidden/>
          </w:rPr>
          <w:instrText xml:space="preserve"> PAGEREF _Toc208995927 \h </w:instrText>
        </w:r>
        <w:r>
          <w:rPr>
            <w:noProof/>
            <w:webHidden/>
          </w:rPr>
        </w:r>
        <w:r>
          <w:rPr>
            <w:noProof/>
            <w:webHidden/>
          </w:rPr>
          <w:fldChar w:fldCharType="separate"/>
        </w:r>
        <w:r w:rsidR="001D2B52">
          <w:rPr>
            <w:noProof/>
            <w:webHidden/>
          </w:rPr>
          <w:t>18</w:t>
        </w:r>
        <w:r>
          <w:rPr>
            <w:noProof/>
            <w:webHidden/>
          </w:rPr>
          <w:fldChar w:fldCharType="end"/>
        </w:r>
      </w:hyperlink>
    </w:p>
    <w:p w14:paraId="6772DC99" w14:textId="2828F0E9"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28" w:history="1">
        <w:r w:rsidRPr="006A7F75">
          <w:rPr>
            <w:rStyle w:val="Hyperlink"/>
            <w:noProof/>
          </w:rPr>
          <w:t>How to access the service</w:t>
        </w:r>
        <w:r>
          <w:rPr>
            <w:noProof/>
            <w:webHidden/>
          </w:rPr>
          <w:tab/>
        </w:r>
        <w:r>
          <w:rPr>
            <w:noProof/>
            <w:webHidden/>
          </w:rPr>
          <w:fldChar w:fldCharType="begin"/>
        </w:r>
        <w:r>
          <w:rPr>
            <w:noProof/>
            <w:webHidden/>
          </w:rPr>
          <w:instrText xml:space="preserve"> PAGEREF _Toc208995928 \h </w:instrText>
        </w:r>
        <w:r>
          <w:rPr>
            <w:noProof/>
            <w:webHidden/>
          </w:rPr>
        </w:r>
        <w:r>
          <w:rPr>
            <w:noProof/>
            <w:webHidden/>
          </w:rPr>
          <w:fldChar w:fldCharType="separate"/>
        </w:r>
        <w:r w:rsidR="001D2B52">
          <w:rPr>
            <w:noProof/>
            <w:webHidden/>
          </w:rPr>
          <w:t>18</w:t>
        </w:r>
        <w:r>
          <w:rPr>
            <w:noProof/>
            <w:webHidden/>
          </w:rPr>
          <w:fldChar w:fldCharType="end"/>
        </w:r>
      </w:hyperlink>
    </w:p>
    <w:p w14:paraId="3C85CF98" w14:textId="69FD8DBE" w:rsidR="00117F5B" w:rsidRDefault="00117F5B" w:rsidP="00D23A69">
      <w:pPr>
        <w:pStyle w:val="TOC1"/>
        <w:tabs>
          <w:tab w:val="right" w:leader="dot" w:pos="9016"/>
        </w:tabs>
        <w:spacing w:line="274" w:lineRule="auto"/>
        <w:rPr>
          <w:noProof/>
        </w:rPr>
      </w:pPr>
      <w:hyperlink w:anchor="_Toc208995929" w:history="1">
        <w:r w:rsidRPr="006A7F75">
          <w:rPr>
            <w:rStyle w:val="Hyperlink"/>
            <w:noProof/>
          </w:rPr>
          <w:t>4.5 Damage</w:t>
        </w:r>
        <w:r>
          <w:rPr>
            <w:noProof/>
            <w:webHidden/>
          </w:rPr>
          <w:tab/>
        </w:r>
        <w:r>
          <w:rPr>
            <w:noProof/>
            <w:webHidden/>
          </w:rPr>
          <w:fldChar w:fldCharType="begin"/>
        </w:r>
        <w:r>
          <w:rPr>
            <w:noProof/>
            <w:webHidden/>
          </w:rPr>
          <w:instrText xml:space="preserve"> PAGEREF _Toc208995929 \h </w:instrText>
        </w:r>
        <w:r>
          <w:rPr>
            <w:noProof/>
            <w:webHidden/>
          </w:rPr>
        </w:r>
        <w:r>
          <w:rPr>
            <w:noProof/>
            <w:webHidden/>
          </w:rPr>
          <w:fldChar w:fldCharType="separate"/>
        </w:r>
        <w:r w:rsidR="001D2B52">
          <w:rPr>
            <w:noProof/>
            <w:webHidden/>
          </w:rPr>
          <w:t>19</w:t>
        </w:r>
        <w:r>
          <w:rPr>
            <w:noProof/>
            <w:webHidden/>
          </w:rPr>
          <w:fldChar w:fldCharType="end"/>
        </w:r>
      </w:hyperlink>
    </w:p>
    <w:p w14:paraId="7479D747" w14:textId="569CF344"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0" w:history="1">
        <w:r w:rsidRPr="006A7F75">
          <w:rPr>
            <w:rStyle w:val="Hyperlink"/>
            <w:noProof/>
          </w:rPr>
          <w:t>Insurance</w:t>
        </w:r>
        <w:r>
          <w:rPr>
            <w:noProof/>
            <w:webHidden/>
          </w:rPr>
          <w:tab/>
        </w:r>
        <w:r>
          <w:rPr>
            <w:noProof/>
            <w:webHidden/>
          </w:rPr>
          <w:fldChar w:fldCharType="begin"/>
        </w:r>
        <w:r>
          <w:rPr>
            <w:noProof/>
            <w:webHidden/>
          </w:rPr>
          <w:instrText xml:space="preserve"> PAGEREF _Toc208995930 \h </w:instrText>
        </w:r>
        <w:r>
          <w:rPr>
            <w:noProof/>
            <w:webHidden/>
          </w:rPr>
        </w:r>
        <w:r>
          <w:rPr>
            <w:noProof/>
            <w:webHidden/>
          </w:rPr>
          <w:fldChar w:fldCharType="separate"/>
        </w:r>
        <w:r w:rsidR="001D2B52">
          <w:rPr>
            <w:noProof/>
            <w:webHidden/>
          </w:rPr>
          <w:t>19</w:t>
        </w:r>
        <w:r>
          <w:rPr>
            <w:noProof/>
            <w:webHidden/>
          </w:rPr>
          <w:fldChar w:fldCharType="end"/>
        </w:r>
      </w:hyperlink>
    </w:p>
    <w:p w14:paraId="0144AF90" w14:textId="3E4CD98C"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1" w:history="1">
        <w:r w:rsidRPr="006A7F75">
          <w:rPr>
            <w:rStyle w:val="Hyperlink"/>
            <w:noProof/>
          </w:rPr>
          <w:t>Security deposit</w:t>
        </w:r>
        <w:r>
          <w:rPr>
            <w:noProof/>
            <w:webHidden/>
          </w:rPr>
          <w:tab/>
        </w:r>
        <w:r>
          <w:rPr>
            <w:noProof/>
            <w:webHidden/>
          </w:rPr>
          <w:fldChar w:fldCharType="begin"/>
        </w:r>
        <w:r>
          <w:rPr>
            <w:noProof/>
            <w:webHidden/>
          </w:rPr>
          <w:instrText xml:space="preserve"> PAGEREF _Toc208995931 \h </w:instrText>
        </w:r>
        <w:r>
          <w:rPr>
            <w:noProof/>
            <w:webHidden/>
          </w:rPr>
        </w:r>
        <w:r>
          <w:rPr>
            <w:noProof/>
            <w:webHidden/>
          </w:rPr>
          <w:fldChar w:fldCharType="separate"/>
        </w:r>
        <w:r w:rsidR="001D2B52">
          <w:rPr>
            <w:noProof/>
            <w:webHidden/>
          </w:rPr>
          <w:t>19</w:t>
        </w:r>
        <w:r>
          <w:rPr>
            <w:noProof/>
            <w:webHidden/>
          </w:rPr>
          <w:fldChar w:fldCharType="end"/>
        </w:r>
      </w:hyperlink>
    </w:p>
    <w:p w14:paraId="430FE906" w14:textId="5A5D0E8C"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2" w:history="1">
        <w:r w:rsidRPr="006A7F75">
          <w:rPr>
            <w:rStyle w:val="Hyperlink"/>
            <w:noProof/>
          </w:rPr>
          <w:t>MSD must approve security deposit grant amount</w:t>
        </w:r>
        <w:r>
          <w:rPr>
            <w:noProof/>
            <w:webHidden/>
          </w:rPr>
          <w:tab/>
        </w:r>
        <w:r>
          <w:rPr>
            <w:noProof/>
            <w:webHidden/>
          </w:rPr>
          <w:fldChar w:fldCharType="begin"/>
        </w:r>
        <w:r>
          <w:rPr>
            <w:noProof/>
            <w:webHidden/>
          </w:rPr>
          <w:instrText xml:space="preserve"> PAGEREF _Toc208995932 \h </w:instrText>
        </w:r>
        <w:r>
          <w:rPr>
            <w:noProof/>
            <w:webHidden/>
          </w:rPr>
        </w:r>
        <w:r>
          <w:rPr>
            <w:noProof/>
            <w:webHidden/>
          </w:rPr>
          <w:fldChar w:fldCharType="separate"/>
        </w:r>
        <w:r w:rsidR="001D2B52">
          <w:rPr>
            <w:noProof/>
            <w:webHidden/>
          </w:rPr>
          <w:t>19</w:t>
        </w:r>
        <w:r>
          <w:rPr>
            <w:noProof/>
            <w:webHidden/>
          </w:rPr>
          <w:fldChar w:fldCharType="end"/>
        </w:r>
      </w:hyperlink>
    </w:p>
    <w:p w14:paraId="546B707C" w14:textId="00AAD19E"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3" w:history="1">
        <w:r w:rsidRPr="006A7F75">
          <w:rPr>
            <w:rStyle w:val="Hyperlink"/>
            <w:noProof/>
          </w:rPr>
          <w:t>Claiming for loss or damage under the security deposit</w:t>
        </w:r>
        <w:r>
          <w:rPr>
            <w:noProof/>
            <w:webHidden/>
          </w:rPr>
          <w:tab/>
        </w:r>
        <w:r>
          <w:rPr>
            <w:noProof/>
            <w:webHidden/>
          </w:rPr>
          <w:fldChar w:fldCharType="begin"/>
        </w:r>
        <w:r>
          <w:rPr>
            <w:noProof/>
            <w:webHidden/>
          </w:rPr>
          <w:instrText xml:space="preserve"> PAGEREF _Toc208995933 \h </w:instrText>
        </w:r>
        <w:r>
          <w:rPr>
            <w:noProof/>
            <w:webHidden/>
          </w:rPr>
        </w:r>
        <w:r>
          <w:rPr>
            <w:noProof/>
            <w:webHidden/>
          </w:rPr>
          <w:fldChar w:fldCharType="separate"/>
        </w:r>
        <w:r w:rsidR="001D2B52">
          <w:rPr>
            <w:noProof/>
            <w:webHidden/>
          </w:rPr>
          <w:t>20</w:t>
        </w:r>
        <w:r>
          <w:rPr>
            <w:noProof/>
            <w:webHidden/>
          </w:rPr>
          <w:fldChar w:fldCharType="end"/>
        </w:r>
      </w:hyperlink>
    </w:p>
    <w:p w14:paraId="38C71A2B" w14:textId="117B4620"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4" w:history="1">
        <w:r w:rsidRPr="006A7F75">
          <w:rPr>
            <w:rStyle w:val="Hyperlink"/>
            <w:noProof/>
          </w:rPr>
          <w:t>Costs covered by the security deposit</w:t>
        </w:r>
        <w:r>
          <w:rPr>
            <w:noProof/>
            <w:webHidden/>
          </w:rPr>
          <w:tab/>
        </w:r>
        <w:r>
          <w:rPr>
            <w:noProof/>
            <w:webHidden/>
          </w:rPr>
          <w:fldChar w:fldCharType="begin"/>
        </w:r>
        <w:r>
          <w:rPr>
            <w:noProof/>
            <w:webHidden/>
          </w:rPr>
          <w:instrText xml:space="preserve"> PAGEREF _Toc208995934 \h </w:instrText>
        </w:r>
        <w:r>
          <w:rPr>
            <w:noProof/>
            <w:webHidden/>
          </w:rPr>
        </w:r>
        <w:r>
          <w:rPr>
            <w:noProof/>
            <w:webHidden/>
          </w:rPr>
          <w:fldChar w:fldCharType="separate"/>
        </w:r>
        <w:r w:rsidR="001D2B52">
          <w:rPr>
            <w:noProof/>
            <w:webHidden/>
          </w:rPr>
          <w:t>20</w:t>
        </w:r>
        <w:r>
          <w:rPr>
            <w:noProof/>
            <w:webHidden/>
          </w:rPr>
          <w:fldChar w:fldCharType="end"/>
        </w:r>
      </w:hyperlink>
    </w:p>
    <w:p w14:paraId="4943A449" w14:textId="58DE10BD" w:rsidR="00117F5B" w:rsidRDefault="00117F5B" w:rsidP="00D23A69">
      <w:pPr>
        <w:pStyle w:val="TOC1"/>
        <w:tabs>
          <w:tab w:val="right" w:leader="dot" w:pos="9016"/>
        </w:tabs>
        <w:spacing w:line="274" w:lineRule="auto"/>
        <w:rPr>
          <w:noProof/>
        </w:rPr>
      </w:pPr>
      <w:hyperlink w:anchor="_Toc208995935" w:history="1">
        <w:r w:rsidRPr="006A7F75">
          <w:rPr>
            <w:rStyle w:val="Hyperlink"/>
            <w:noProof/>
          </w:rPr>
          <w:t>4.6 Maintenance cost claims from Te Tūāpapa Kura Kāinga</w:t>
        </w:r>
        <w:r>
          <w:rPr>
            <w:noProof/>
            <w:webHidden/>
          </w:rPr>
          <w:tab/>
        </w:r>
        <w:r>
          <w:rPr>
            <w:noProof/>
            <w:webHidden/>
          </w:rPr>
          <w:fldChar w:fldCharType="begin"/>
        </w:r>
        <w:r>
          <w:rPr>
            <w:noProof/>
            <w:webHidden/>
          </w:rPr>
          <w:instrText xml:space="preserve"> PAGEREF _Toc208995935 \h </w:instrText>
        </w:r>
        <w:r>
          <w:rPr>
            <w:noProof/>
            <w:webHidden/>
          </w:rPr>
        </w:r>
        <w:r>
          <w:rPr>
            <w:noProof/>
            <w:webHidden/>
          </w:rPr>
          <w:fldChar w:fldCharType="separate"/>
        </w:r>
        <w:r w:rsidR="001D2B52">
          <w:rPr>
            <w:noProof/>
            <w:webHidden/>
          </w:rPr>
          <w:t>22</w:t>
        </w:r>
        <w:r>
          <w:rPr>
            <w:noProof/>
            <w:webHidden/>
          </w:rPr>
          <w:fldChar w:fldCharType="end"/>
        </w:r>
      </w:hyperlink>
    </w:p>
    <w:p w14:paraId="430254FE" w14:textId="2473723B" w:rsidR="00117F5B" w:rsidRDefault="00117F5B" w:rsidP="00D23A69">
      <w:pPr>
        <w:pStyle w:val="TOC1"/>
        <w:tabs>
          <w:tab w:val="right" w:leader="dot" w:pos="9016"/>
        </w:tabs>
        <w:spacing w:line="274" w:lineRule="auto"/>
        <w:rPr>
          <w:noProof/>
        </w:rPr>
      </w:pPr>
      <w:hyperlink w:anchor="_Toc208995936" w:history="1">
        <w:r w:rsidRPr="006A7F75">
          <w:rPr>
            <w:rStyle w:val="Hyperlink"/>
            <w:noProof/>
          </w:rPr>
          <w:t>5.0 Ending a transitional housing service</w:t>
        </w:r>
        <w:r>
          <w:rPr>
            <w:noProof/>
            <w:webHidden/>
          </w:rPr>
          <w:tab/>
        </w:r>
        <w:r>
          <w:rPr>
            <w:noProof/>
            <w:webHidden/>
          </w:rPr>
          <w:fldChar w:fldCharType="begin"/>
        </w:r>
        <w:r>
          <w:rPr>
            <w:noProof/>
            <w:webHidden/>
          </w:rPr>
          <w:instrText xml:space="preserve"> PAGEREF _Toc208995936 \h </w:instrText>
        </w:r>
        <w:r>
          <w:rPr>
            <w:noProof/>
            <w:webHidden/>
          </w:rPr>
        </w:r>
        <w:r>
          <w:rPr>
            <w:noProof/>
            <w:webHidden/>
          </w:rPr>
          <w:fldChar w:fldCharType="separate"/>
        </w:r>
        <w:r w:rsidR="001D2B52">
          <w:rPr>
            <w:noProof/>
            <w:webHidden/>
          </w:rPr>
          <w:t>23</w:t>
        </w:r>
        <w:r>
          <w:rPr>
            <w:noProof/>
            <w:webHidden/>
          </w:rPr>
          <w:fldChar w:fldCharType="end"/>
        </w:r>
      </w:hyperlink>
    </w:p>
    <w:p w14:paraId="4B837142" w14:textId="41CFD5B3" w:rsidR="00117F5B" w:rsidRDefault="00117F5B" w:rsidP="00D23A69">
      <w:pPr>
        <w:pStyle w:val="TOC1"/>
        <w:tabs>
          <w:tab w:val="right" w:leader="dot" w:pos="9016"/>
        </w:tabs>
        <w:spacing w:line="274" w:lineRule="auto"/>
        <w:rPr>
          <w:noProof/>
        </w:rPr>
      </w:pPr>
      <w:hyperlink w:anchor="_Toc208995937" w:history="1">
        <w:r w:rsidRPr="006A7F75">
          <w:rPr>
            <w:rStyle w:val="Hyperlink"/>
            <w:noProof/>
          </w:rPr>
          <w:t>5.1 Transitioning households from your service</w:t>
        </w:r>
        <w:r>
          <w:rPr>
            <w:noProof/>
            <w:webHidden/>
          </w:rPr>
          <w:tab/>
        </w:r>
        <w:r>
          <w:rPr>
            <w:noProof/>
            <w:webHidden/>
          </w:rPr>
          <w:fldChar w:fldCharType="begin"/>
        </w:r>
        <w:r>
          <w:rPr>
            <w:noProof/>
            <w:webHidden/>
          </w:rPr>
          <w:instrText xml:space="preserve"> PAGEREF _Toc208995937 \h </w:instrText>
        </w:r>
        <w:r>
          <w:rPr>
            <w:noProof/>
            <w:webHidden/>
          </w:rPr>
        </w:r>
        <w:r>
          <w:rPr>
            <w:noProof/>
            <w:webHidden/>
          </w:rPr>
          <w:fldChar w:fldCharType="separate"/>
        </w:r>
        <w:r w:rsidR="001D2B52">
          <w:rPr>
            <w:noProof/>
            <w:webHidden/>
          </w:rPr>
          <w:t>23</w:t>
        </w:r>
        <w:r>
          <w:rPr>
            <w:noProof/>
            <w:webHidden/>
          </w:rPr>
          <w:fldChar w:fldCharType="end"/>
        </w:r>
      </w:hyperlink>
    </w:p>
    <w:p w14:paraId="0C9CDAC7" w14:textId="3FF39158" w:rsidR="00117F5B" w:rsidRDefault="00117F5B" w:rsidP="00D23A69">
      <w:pPr>
        <w:pStyle w:val="TOC1"/>
        <w:tabs>
          <w:tab w:val="right" w:leader="dot" w:pos="9016"/>
        </w:tabs>
        <w:spacing w:line="274" w:lineRule="auto"/>
        <w:rPr>
          <w:noProof/>
        </w:rPr>
      </w:pPr>
      <w:hyperlink w:anchor="_Toc208995938" w:history="1">
        <w:r w:rsidRPr="006A7F75">
          <w:rPr>
            <w:rStyle w:val="Hyperlink"/>
            <w:noProof/>
          </w:rPr>
          <w:t>5.2 Post-exit support services</w:t>
        </w:r>
        <w:r>
          <w:rPr>
            <w:noProof/>
            <w:webHidden/>
          </w:rPr>
          <w:tab/>
        </w:r>
        <w:r>
          <w:rPr>
            <w:noProof/>
            <w:webHidden/>
          </w:rPr>
          <w:fldChar w:fldCharType="begin"/>
        </w:r>
        <w:r>
          <w:rPr>
            <w:noProof/>
            <w:webHidden/>
          </w:rPr>
          <w:instrText xml:space="preserve"> PAGEREF _Toc208995938 \h </w:instrText>
        </w:r>
        <w:r>
          <w:rPr>
            <w:noProof/>
            <w:webHidden/>
          </w:rPr>
        </w:r>
        <w:r>
          <w:rPr>
            <w:noProof/>
            <w:webHidden/>
          </w:rPr>
          <w:fldChar w:fldCharType="separate"/>
        </w:r>
        <w:r w:rsidR="001D2B52">
          <w:rPr>
            <w:noProof/>
            <w:webHidden/>
          </w:rPr>
          <w:t>24</w:t>
        </w:r>
        <w:r>
          <w:rPr>
            <w:noProof/>
            <w:webHidden/>
          </w:rPr>
          <w:fldChar w:fldCharType="end"/>
        </w:r>
      </w:hyperlink>
    </w:p>
    <w:p w14:paraId="7881CA0C" w14:textId="32162C77"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39" w:history="1">
        <w:r w:rsidRPr="006A7F75">
          <w:rPr>
            <w:rStyle w:val="Hyperlink"/>
            <w:noProof/>
          </w:rPr>
          <w:t>Transitioning a client into social housing</w:t>
        </w:r>
        <w:r>
          <w:rPr>
            <w:noProof/>
            <w:webHidden/>
          </w:rPr>
          <w:tab/>
        </w:r>
        <w:r>
          <w:rPr>
            <w:noProof/>
            <w:webHidden/>
          </w:rPr>
          <w:fldChar w:fldCharType="begin"/>
        </w:r>
        <w:r>
          <w:rPr>
            <w:noProof/>
            <w:webHidden/>
          </w:rPr>
          <w:instrText xml:space="preserve"> PAGEREF _Toc208995939 \h </w:instrText>
        </w:r>
        <w:r>
          <w:rPr>
            <w:noProof/>
            <w:webHidden/>
          </w:rPr>
        </w:r>
        <w:r>
          <w:rPr>
            <w:noProof/>
            <w:webHidden/>
          </w:rPr>
          <w:fldChar w:fldCharType="separate"/>
        </w:r>
        <w:r w:rsidR="001D2B52">
          <w:rPr>
            <w:noProof/>
            <w:webHidden/>
          </w:rPr>
          <w:t>24</w:t>
        </w:r>
        <w:r>
          <w:rPr>
            <w:noProof/>
            <w:webHidden/>
          </w:rPr>
          <w:fldChar w:fldCharType="end"/>
        </w:r>
      </w:hyperlink>
    </w:p>
    <w:p w14:paraId="263132AF" w14:textId="1EDB9113" w:rsidR="00117F5B" w:rsidRDefault="00117F5B" w:rsidP="00D23A69">
      <w:pPr>
        <w:pStyle w:val="TOC1"/>
        <w:tabs>
          <w:tab w:val="right" w:leader="dot" w:pos="9016"/>
        </w:tabs>
        <w:spacing w:line="274" w:lineRule="auto"/>
        <w:rPr>
          <w:noProof/>
        </w:rPr>
      </w:pPr>
      <w:hyperlink w:anchor="_Toc208995940" w:history="1">
        <w:r w:rsidRPr="006A7F75">
          <w:rPr>
            <w:rStyle w:val="Hyperlink"/>
            <w:noProof/>
          </w:rPr>
          <w:t>5.3 Early exits for households in transitional housing</w:t>
        </w:r>
        <w:r>
          <w:rPr>
            <w:noProof/>
            <w:webHidden/>
          </w:rPr>
          <w:tab/>
        </w:r>
        <w:r>
          <w:rPr>
            <w:noProof/>
            <w:webHidden/>
          </w:rPr>
          <w:fldChar w:fldCharType="begin"/>
        </w:r>
        <w:r>
          <w:rPr>
            <w:noProof/>
            <w:webHidden/>
          </w:rPr>
          <w:instrText xml:space="preserve"> PAGEREF _Toc208995940 \h </w:instrText>
        </w:r>
        <w:r>
          <w:rPr>
            <w:noProof/>
            <w:webHidden/>
          </w:rPr>
        </w:r>
        <w:r>
          <w:rPr>
            <w:noProof/>
            <w:webHidden/>
          </w:rPr>
          <w:fldChar w:fldCharType="separate"/>
        </w:r>
        <w:r w:rsidR="001D2B52">
          <w:rPr>
            <w:noProof/>
            <w:webHidden/>
          </w:rPr>
          <w:t>25</w:t>
        </w:r>
        <w:r>
          <w:rPr>
            <w:noProof/>
            <w:webHidden/>
          </w:rPr>
          <w:fldChar w:fldCharType="end"/>
        </w:r>
      </w:hyperlink>
    </w:p>
    <w:p w14:paraId="48723505" w14:textId="567C98CC" w:rsidR="00117F5B" w:rsidRDefault="00117F5B" w:rsidP="00D23A69">
      <w:pPr>
        <w:pStyle w:val="TOC1"/>
        <w:tabs>
          <w:tab w:val="right" w:leader="dot" w:pos="9016"/>
        </w:tabs>
        <w:spacing w:line="274" w:lineRule="auto"/>
        <w:rPr>
          <w:noProof/>
        </w:rPr>
      </w:pPr>
      <w:hyperlink w:anchor="_Toc208995941" w:history="1">
        <w:r w:rsidRPr="006A7F75">
          <w:rPr>
            <w:rStyle w:val="Hyperlink"/>
            <w:noProof/>
          </w:rPr>
          <w:t>6.0 Administrative information and requirements</w:t>
        </w:r>
        <w:r>
          <w:rPr>
            <w:noProof/>
            <w:webHidden/>
          </w:rPr>
          <w:tab/>
        </w:r>
        <w:r>
          <w:rPr>
            <w:noProof/>
            <w:webHidden/>
          </w:rPr>
          <w:fldChar w:fldCharType="begin"/>
        </w:r>
        <w:r>
          <w:rPr>
            <w:noProof/>
            <w:webHidden/>
          </w:rPr>
          <w:instrText xml:space="preserve"> PAGEREF _Toc208995941 \h </w:instrText>
        </w:r>
        <w:r>
          <w:rPr>
            <w:noProof/>
            <w:webHidden/>
          </w:rPr>
        </w:r>
        <w:r>
          <w:rPr>
            <w:noProof/>
            <w:webHidden/>
          </w:rPr>
          <w:fldChar w:fldCharType="separate"/>
        </w:r>
        <w:r w:rsidR="001D2B52">
          <w:rPr>
            <w:noProof/>
            <w:webHidden/>
          </w:rPr>
          <w:t>25</w:t>
        </w:r>
        <w:r>
          <w:rPr>
            <w:noProof/>
            <w:webHidden/>
          </w:rPr>
          <w:fldChar w:fldCharType="end"/>
        </w:r>
      </w:hyperlink>
    </w:p>
    <w:p w14:paraId="6068EBAA" w14:textId="6C331EE7"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42" w:history="1">
        <w:r w:rsidRPr="006A7F75">
          <w:rPr>
            <w:rStyle w:val="Hyperlink"/>
            <w:noProof/>
          </w:rPr>
          <w:t>Temporary housing vacancy management tool</w:t>
        </w:r>
        <w:r>
          <w:rPr>
            <w:noProof/>
            <w:webHidden/>
          </w:rPr>
          <w:tab/>
        </w:r>
        <w:r>
          <w:rPr>
            <w:noProof/>
            <w:webHidden/>
          </w:rPr>
          <w:fldChar w:fldCharType="begin"/>
        </w:r>
        <w:r>
          <w:rPr>
            <w:noProof/>
            <w:webHidden/>
          </w:rPr>
          <w:instrText xml:space="preserve"> PAGEREF _Toc208995942 \h </w:instrText>
        </w:r>
        <w:r>
          <w:rPr>
            <w:noProof/>
            <w:webHidden/>
          </w:rPr>
        </w:r>
        <w:r>
          <w:rPr>
            <w:noProof/>
            <w:webHidden/>
          </w:rPr>
          <w:fldChar w:fldCharType="separate"/>
        </w:r>
        <w:r w:rsidR="001D2B52">
          <w:rPr>
            <w:noProof/>
            <w:webHidden/>
          </w:rPr>
          <w:t>26</w:t>
        </w:r>
        <w:r>
          <w:rPr>
            <w:noProof/>
            <w:webHidden/>
          </w:rPr>
          <w:fldChar w:fldCharType="end"/>
        </w:r>
      </w:hyperlink>
    </w:p>
    <w:p w14:paraId="3425B359" w14:textId="00F92A8D"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43" w:history="1">
        <w:r w:rsidRPr="006A7F75">
          <w:rPr>
            <w:rStyle w:val="Hyperlink"/>
            <w:noProof/>
          </w:rPr>
          <w:t>ShareFile</w:t>
        </w:r>
        <w:r>
          <w:rPr>
            <w:noProof/>
            <w:webHidden/>
          </w:rPr>
          <w:tab/>
        </w:r>
        <w:r>
          <w:rPr>
            <w:noProof/>
            <w:webHidden/>
          </w:rPr>
          <w:fldChar w:fldCharType="begin"/>
        </w:r>
        <w:r>
          <w:rPr>
            <w:noProof/>
            <w:webHidden/>
          </w:rPr>
          <w:instrText xml:space="preserve"> PAGEREF _Toc208995943 \h </w:instrText>
        </w:r>
        <w:r>
          <w:rPr>
            <w:noProof/>
            <w:webHidden/>
          </w:rPr>
        </w:r>
        <w:r>
          <w:rPr>
            <w:noProof/>
            <w:webHidden/>
          </w:rPr>
          <w:fldChar w:fldCharType="separate"/>
        </w:r>
        <w:r w:rsidR="001D2B52">
          <w:rPr>
            <w:noProof/>
            <w:webHidden/>
          </w:rPr>
          <w:t>26</w:t>
        </w:r>
        <w:r>
          <w:rPr>
            <w:noProof/>
            <w:webHidden/>
          </w:rPr>
          <w:fldChar w:fldCharType="end"/>
        </w:r>
      </w:hyperlink>
    </w:p>
    <w:p w14:paraId="255E27F6" w14:textId="5FC3BA5C" w:rsidR="00117F5B" w:rsidRDefault="00117F5B" w:rsidP="00D23A69">
      <w:pPr>
        <w:pStyle w:val="TOC1"/>
        <w:tabs>
          <w:tab w:val="right" w:leader="dot" w:pos="9016"/>
        </w:tabs>
        <w:spacing w:line="274" w:lineRule="auto"/>
        <w:rPr>
          <w:noProof/>
        </w:rPr>
      </w:pPr>
      <w:hyperlink w:anchor="_Toc208995944" w:history="1">
        <w:r w:rsidRPr="006A7F75">
          <w:rPr>
            <w:rStyle w:val="Hyperlink"/>
            <w:noProof/>
          </w:rPr>
          <w:t>6.1 Managing household information</w:t>
        </w:r>
        <w:r>
          <w:rPr>
            <w:noProof/>
            <w:webHidden/>
          </w:rPr>
          <w:tab/>
        </w:r>
        <w:r>
          <w:rPr>
            <w:noProof/>
            <w:webHidden/>
          </w:rPr>
          <w:fldChar w:fldCharType="begin"/>
        </w:r>
        <w:r>
          <w:rPr>
            <w:noProof/>
            <w:webHidden/>
          </w:rPr>
          <w:instrText xml:space="preserve"> PAGEREF _Toc208995944 \h </w:instrText>
        </w:r>
        <w:r>
          <w:rPr>
            <w:noProof/>
            <w:webHidden/>
          </w:rPr>
        </w:r>
        <w:r>
          <w:rPr>
            <w:noProof/>
            <w:webHidden/>
          </w:rPr>
          <w:fldChar w:fldCharType="separate"/>
        </w:r>
        <w:r w:rsidR="001D2B52">
          <w:rPr>
            <w:noProof/>
            <w:webHidden/>
          </w:rPr>
          <w:t>26</w:t>
        </w:r>
        <w:r>
          <w:rPr>
            <w:noProof/>
            <w:webHidden/>
          </w:rPr>
          <w:fldChar w:fldCharType="end"/>
        </w:r>
      </w:hyperlink>
    </w:p>
    <w:p w14:paraId="282FDEE9" w14:textId="23E27F21"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45" w:history="1">
        <w:r w:rsidRPr="006A7F75">
          <w:rPr>
            <w:rStyle w:val="Hyperlink"/>
            <w:noProof/>
          </w:rPr>
          <w:t>Privacy breaches</w:t>
        </w:r>
        <w:r>
          <w:rPr>
            <w:noProof/>
            <w:webHidden/>
          </w:rPr>
          <w:tab/>
        </w:r>
        <w:r>
          <w:rPr>
            <w:noProof/>
            <w:webHidden/>
          </w:rPr>
          <w:fldChar w:fldCharType="begin"/>
        </w:r>
        <w:r>
          <w:rPr>
            <w:noProof/>
            <w:webHidden/>
          </w:rPr>
          <w:instrText xml:space="preserve"> PAGEREF _Toc208995945 \h </w:instrText>
        </w:r>
        <w:r>
          <w:rPr>
            <w:noProof/>
            <w:webHidden/>
          </w:rPr>
        </w:r>
        <w:r>
          <w:rPr>
            <w:noProof/>
            <w:webHidden/>
          </w:rPr>
          <w:fldChar w:fldCharType="separate"/>
        </w:r>
        <w:r w:rsidR="001D2B52">
          <w:rPr>
            <w:noProof/>
            <w:webHidden/>
          </w:rPr>
          <w:t>26</w:t>
        </w:r>
        <w:r>
          <w:rPr>
            <w:noProof/>
            <w:webHidden/>
          </w:rPr>
          <w:fldChar w:fldCharType="end"/>
        </w:r>
      </w:hyperlink>
    </w:p>
    <w:p w14:paraId="4F87629E" w14:textId="73674670"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46" w:history="1">
        <w:r w:rsidRPr="006A7F75">
          <w:rPr>
            <w:rStyle w:val="Hyperlink"/>
            <w:noProof/>
          </w:rPr>
          <w:t>Definition</w:t>
        </w:r>
        <w:r>
          <w:rPr>
            <w:noProof/>
            <w:webHidden/>
          </w:rPr>
          <w:tab/>
        </w:r>
        <w:r>
          <w:rPr>
            <w:noProof/>
            <w:webHidden/>
          </w:rPr>
          <w:fldChar w:fldCharType="begin"/>
        </w:r>
        <w:r>
          <w:rPr>
            <w:noProof/>
            <w:webHidden/>
          </w:rPr>
          <w:instrText xml:space="preserve"> PAGEREF _Toc208995946 \h </w:instrText>
        </w:r>
        <w:r>
          <w:rPr>
            <w:noProof/>
            <w:webHidden/>
          </w:rPr>
        </w:r>
        <w:r>
          <w:rPr>
            <w:noProof/>
            <w:webHidden/>
          </w:rPr>
          <w:fldChar w:fldCharType="separate"/>
        </w:r>
        <w:r w:rsidR="001D2B52">
          <w:rPr>
            <w:noProof/>
            <w:webHidden/>
          </w:rPr>
          <w:t>26</w:t>
        </w:r>
        <w:r>
          <w:rPr>
            <w:noProof/>
            <w:webHidden/>
          </w:rPr>
          <w:fldChar w:fldCharType="end"/>
        </w:r>
      </w:hyperlink>
    </w:p>
    <w:p w14:paraId="17DF164D" w14:textId="616520D4"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47" w:history="1">
        <w:r w:rsidRPr="006A7F75">
          <w:rPr>
            <w:rStyle w:val="Hyperlink"/>
            <w:noProof/>
          </w:rPr>
          <w:t>Legal obligations</w:t>
        </w:r>
        <w:r>
          <w:rPr>
            <w:noProof/>
            <w:webHidden/>
          </w:rPr>
          <w:tab/>
        </w:r>
        <w:r>
          <w:rPr>
            <w:noProof/>
            <w:webHidden/>
          </w:rPr>
          <w:fldChar w:fldCharType="begin"/>
        </w:r>
        <w:r>
          <w:rPr>
            <w:noProof/>
            <w:webHidden/>
          </w:rPr>
          <w:instrText xml:space="preserve"> PAGEREF _Toc208995947 \h </w:instrText>
        </w:r>
        <w:r>
          <w:rPr>
            <w:noProof/>
            <w:webHidden/>
          </w:rPr>
        </w:r>
        <w:r>
          <w:rPr>
            <w:noProof/>
            <w:webHidden/>
          </w:rPr>
          <w:fldChar w:fldCharType="separate"/>
        </w:r>
        <w:r w:rsidR="001D2B52">
          <w:rPr>
            <w:noProof/>
            <w:webHidden/>
          </w:rPr>
          <w:t>27</w:t>
        </w:r>
        <w:r>
          <w:rPr>
            <w:noProof/>
            <w:webHidden/>
          </w:rPr>
          <w:fldChar w:fldCharType="end"/>
        </w:r>
      </w:hyperlink>
    </w:p>
    <w:p w14:paraId="646745B6" w14:textId="58CED8F9"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48" w:history="1">
        <w:r w:rsidRPr="006A7F75">
          <w:rPr>
            <w:rStyle w:val="Hyperlink"/>
            <w:noProof/>
          </w:rPr>
          <w:t>Reporting requirements</w:t>
        </w:r>
        <w:r>
          <w:rPr>
            <w:noProof/>
            <w:webHidden/>
          </w:rPr>
          <w:tab/>
        </w:r>
        <w:r>
          <w:rPr>
            <w:noProof/>
            <w:webHidden/>
          </w:rPr>
          <w:fldChar w:fldCharType="begin"/>
        </w:r>
        <w:r>
          <w:rPr>
            <w:noProof/>
            <w:webHidden/>
          </w:rPr>
          <w:instrText xml:space="preserve"> PAGEREF _Toc208995948 \h </w:instrText>
        </w:r>
        <w:r>
          <w:rPr>
            <w:noProof/>
            <w:webHidden/>
          </w:rPr>
        </w:r>
        <w:r>
          <w:rPr>
            <w:noProof/>
            <w:webHidden/>
          </w:rPr>
          <w:fldChar w:fldCharType="separate"/>
        </w:r>
        <w:r w:rsidR="001D2B52">
          <w:rPr>
            <w:noProof/>
            <w:webHidden/>
          </w:rPr>
          <w:t>27</w:t>
        </w:r>
        <w:r>
          <w:rPr>
            <w:noProof/>
            <w:webHidden/>
          </w:rPr>
          <w:fldChar w:fldCharType="end"/>
        </w:r>
      </w:hyperlink>
    </w:p>
    <w:p w14:paraId="68EA4ABB" w14:textId="09F243E2"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49" w:history="1">
        <w:r w:rsidRPr="006A7F75">
          <w:rPr>
            <w:rStyle w:val="Hyperlink"/>
            <w:noProof/>
          </w:rPr>
          <w:t>Correcting inaccurate household information</w:t>
        </w:r>
        <w:r>
          <w:rPr>
            <w:noProof/>
            <w:webHidden/>
          </w:rPr>
          <w:tab/>
        </w:r>
        <w:r>
          <w:rPr>
            <w:noProof/>
            <w:webHidden/>
          </w:rPr>
          <w:fldChar w:fldCharType="begin"/>
        </w:r>
        <w:r>
          <w:rPr>
            <w:noProof/>
            <w:webHidden/>
          </w:rPr>
          <w:instrText xml:space="preserve"> PAGEREF _Toc208995949 \h </w:instrText>
        </w:r>
        <w:r>
          <w:rPr>
            <w:noProof/>
            <w:webHidden/>
          </w:rPr>
        </w:r>
        <w:r>
          <w:rPr>
            <w:noProof/>
            <w:webHidden/>
          </w:rPr>
          <w:fldChar w:fldCharType="separate"/>
        </w:r>
        <w:r w:rsidR="001D2B52">
          <w:rPr>
            <w:noProof/>
            <w:webHidden/>
          </w:rPr>
          <w:t>27</w:t>
        </w:r>
        <w:r>
          <w:rPr>
            <w:noProof/>
            <w:webHidden/>
          </w:rPr>
          <w:fldChar w:fldCharType="end"/>
        </w:r>
      </w:hyperlink>
    </w:p>
    <w:p w14:paraId="7F41CC2F" w14:textId="7D22DCB8"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0" w:history="1">
        <w:r w:rsidRPr="006A7F75">
          <w:rPr>
            <w:rStyle w:val="Hyperlink"/>
            <w:noProof/>
          </w:rPr>
          <w:t>Providing household information</w:t>
        </w:r>
        <w:r>
          <w:rPr>
            <w:noProof/>
            <w:webHidden/>
          </w:rPr>
          <w:tab/>
        </w:r>
        <w:r>
          <w:rPr>
            <w:noProof/>
            <w:webHidden/>
          </w:rPr>
          <w:fldChar w:fldCharType="begin"/>
        </w:r>
        <w:r>
          <w:rPr>
            <w:noProof/>
            <w:webHidden/>
          </w:rPr>
          <w:instrText xml:space="preserve"> PAGEREF _Toc208995950 \h </w:instrText>
        </w:r>
        <w:r>
          <w:rPr>
            <w:noProof/>
            <w:webHidden/>
          </w:rPr>
        </w:r>
        <w:r>
          <w:rPr>
            <w:noProof/>
            <w:webHidden/>
          </w:rPr>
          <w:fldChar w:fldCharType="separate"/>
        </w:r>
        <w:r w:rsidR="001D2B52">
          <w:rPr>
            <w:noProof/>
            <w:webHidden/>
          </w:rPr>
          <w:t>27</w:t>
        </w:r>
        <w:r>
          <w:rPr>
            <w:noProof/>
            <w:webHidden/>
          </w:rPr>
          <w:fldChar w:fldCharType="end"/>
        </w:r>
      </w:hyperlink>
    </w:p>
    <w:p w14:paraId="1A4328A1" w14:textId="3E66C3D2"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1" w:history="1">
        <w:r w:rsidRPr="006A7F75">
          <w:rPr>
            <w:rStyle w:val="Hyperlink"/>
            <w:noProof/>
          </w:rPr>
          <w:t>Storage and security of household information</w:t>
        </w:r>
        <w:r>
          <w:rPr>
            <w:noProof/>
            <w:webHidden/>
          </w:rPr>
          <w:tab/>
        </w:r>
        <w:r>
          <w:rPr>
            <w:noProof/>
            <w:webHidden/>
          </w:rPr>
          <w:fldChar w:fldCharType="begin"/>
        </w:r>
        <w:r>
          <w:rPr>
            <w:noProof/>
            <w:webHidden/>
          </w:rPr>
          <w:instrText xml:space="preserve"> PAGEREF _Toc208995951 \h </w:instrText>
        </w:r>
        <w:r>
          <w:rPr>
            <w:noProof/>
            <w:webHidden/>
          </w:rPr>
        </w:r>
        <w:r>
          <w:rPr>
            <w:noProof/>
            <w:webHidden/>
          </w:rPr>
          <w:fldChar w:fldCharType="separate"/>
        </w:r>
        <w:r w:rsidR="001D2B52">
          <w:rPr>
            <w:noProof/>
            <w:webHidden/>
          </w:rPr>
          <w:t>27</w:t>
        </w:r>
        <w:r>
          <w:rPr>
            <w:noProof/>
            <w:webHidden/>
          </w:rPr>
          <w:fldChar w:fldCharType="end"/>
        </w:r>
      </w:hyperlink>
    </w:p>
    <w:p w14:paraId="1D7A5E37" w14:textId="21BFACCE"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2" w:history="1">
        <w:r w:rsidRPr="006A7F75">
          <w:rPr>
            <w:rStyle w:val="Hyperlink"/>
            <w:noProof/>
          </w:rPr>
          <w:t>Electronic storage</w:t>
        </w:r>
        <w:r>
          <w:rPr>
            <w:noProof/>
            <w:webHidden/>
          </w:rPr>
          <w:tab/>
        </w:r>
        <w:r>
          <w:rPr>
            <w:noProof/>
            <w:webHidden/>
          </w:rPr>
          <w:fldChar w:fldCharType="begin"/>
        </w:r>
        <w:r>
          <w:rPr>
            <w:noProof/>
            <w:webHidden/>
          </w:rPr>
          <w:instrText xml:space="preserve"> PAGEREF _Toc208995952 \h </w:instrText>
        </w:r>
        <w:r>
          <w:rPr>
            <w:noProof/>
            <w:webHidden/>
          </w:rPr>
        </w:r>
        <w:r>
          <w:rPr>
            <w:noProof/>
            <w:webHidden/>
          </w:rPr>
          <w:fldChar w:fldCharType="separate"/>
        </w:r>
        <w:r w:rsidR="001D2B52">
          <w:rPr>
            <w:noProof/>
            <w:webHidden/>
          </w:rPr>
          <w:t>28</w:t>
        </w:r>
        <w:r>
          <w:rPr>
            <w:noProof/>
            <w:webHidden/>
          </w:rPr>
          <w:fldChar w:fldCharType="end"/>
        </w:r>
      </w:hyperlink>
    </w:p>
    <w:p w14:paraId="7A7D2085" w14:textId="10113CBC"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3" w:history="1">
        <w:r w:rsidRPr="006A7F75">
          <w:rPr>
            <w:rStyle w:val="Hyperlink"/>
            <w:noProof/>
          </w:rPr>
          <w:t>Physical storage</w:t>
        </w:r>
        <w:r>
          <w:rPr>
            <w:noProof/>
            <w:webHidden/>
          </w:rPr>
          <w:tab/>
        </w:r>
        <w:r>
          <w:rPr>
            <w:noProof/>
            <w:webHidden/>
          </w:rPr>
          <w:fldChar w:fldCharType="begin"/>
        </w:r>
        <w:r>
          <w:rPr>
            <w:noProof/>
            <w:webHidden/>
          </w:rPr>
          <w:instrText xml:space="preserve"> PAGEREF _Toc208995953 \h </w:instrText>
        </w:r>
        <w:r>
          <w:rPr>
            <w:noProof/>
            <w:webHidden/>
          </w:rPr>
        </w:r>
        <w:r>
          <w:rPr>
            <w:noProof/>
            <w:webHidden/>
          </w:rPr>
          <w:fldChar w:fldCharType="separate"/>
        </w:r>
        <w:r w:rsidR="001D2B52">
          <w:rPr>
            <w:noProof/>
            <w:webHidden/>
          </w:rPr>
          <w:t>28</w:t>
        </w:r>
        <w:r>
          <w:rPr>
            <w:noProof/>
            <w:webHidden/>
          </w:rPr>
          <w:fldChar w:fldCharType="end"/>
        </w:r>
      </w:hyperlink>
    </w:p>
    <w:p w14:paraId="2D558587" w14:textId="58E29197"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4" w:history="1">
        <w:r w:rsidRPr="006A7F75">
          <w:rPr>
            <w:rStyle w:val="Hyperlink"/>
            <w:noProof/>
          </w:rPr>
          <w:t>Disposing of information</w:t>
        </w:r>
        <w:r>
          <w:rPr>
            <w:noProof/>
            <w:webHidden/>
          </w:rPr>
          <w:tab/>
        </w:r>
        <w:r>
          <w:rPr>
            <w:noProof/>
            <w:webHidden/>
          </w:rPr>
          <w:fldChar w:fldCharType="begin"/>
        </w:r>
        <w:r>
          <w:rPr>
            <w:noProof/>
            <w:webHidden/>
          </w:rPr>
          <w:instrText xml:space="preserve"> PAGEREF _Toc208995954 \h </w:instrText>
        </w:r>
        <w:r>
          <w:rPr>
            <w:noProof/>
            <w:webHidden/>
          </w:rPr>
        </w:r>
        <w:r>
          <w:rPr>
            <w:noProof/>
            <w:webHidden/>
          </w:rPr>
          <w:fldChar w:fldCharType="separate"/>
        </w:r>
        <w:r w:rsidR="001D2B52">
          <w:rPr>
            <w:noProof/>
            <w:webHidden/>
          </w:rPr>
          <w:t>28</w:t>
        </w:r>
        <w:r>
          <w:rPr>
            <w:noProof/>
            <w:webHidden/>
          </w:rPr>
          <w:fldChar w:fldCharType="end"/>
        </w:r>
      </w:hyperlink>
    </w:p>
    <w:p w14:paraId="44F06595" w14:textId="6CEC0A13" w:rsidR="00117F5B" w:rsidRDefault="00117F5B" w:rsidP="00D23A69">
      <w:pPr>
        <w:pStyle w:val="TOC1"/>
        <w:tabs>
          <w:tab w:val="right" w:leader="dot" w:pos="9016"/>
        </w:tabs>
        <w:spacing w:line="274" w:lineRule="auto"/>
        <w:rPr>
          <w:noProof/>
        </w:rPr>
      </w:pPr>
      <w:hyperlink w:anchor="_Toc208995955" w:history="1">
        <w:r w:rsidRPr="006A7F75">
          <w:rPr>
            <w:rStyle w:val="Hyperlink"/>
            <w:noProof/>
          </w:rPr>
          <w:t>6.2 Protecting household privacy</w:t>
        </w:r>
        <w:r>
          <w:rPr>
            <w:noProof/>
            <w:webHidden/>
          </w:rPr>
          <w:tab/>
        </w:r>
        <w:r>
          <w:rPr>
            <w:noProof/>
            <w:webHidden/>
          </w:rPr>
          <w:fldChar w:fldCharType="begin"/>
        </w:r>
        <w:r>
          <w:rPr>
            <w:noProof/>
            <w:webHidden/>
          </w:rPr>
          <w:instrText xml:space="preserve"> PAGEREF _Toc208995955 \h </w:instrText>
        </w:r>
        <w:r>
          <w:rPr>
            <w:noProof/>
            <w:webHidden/>
          </w:rPr>
        </w:r>
        <w:r>
          <w:rPr>
            <w:noProof/>
            <w:webHidden/>
          </w:rPr>
          <w:fldChar w:fldCharType="separate"/>
        </w:r>
        <w:r w:rsidR="001D2B52">
          <w:rPr>
            <w:noProof/>
            <w:webHidden/>
          </w:rPr>
          <w:t>28</w:t>
        </w:r>
        <w:r>
          <w:rPr>
            <w:noProof/>
            <w:webHidden/>
          </w:rPr>
          <w:fldChar w:fldCharType="end"/>
        </w:r>
      </w:hyperlink>
    </w:p>
    <w:p w14:paraId="5575E14A" w14:textId="6CF8A365"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56" w:history="1">
        <w:r w:rsidRPr="006A7F75">
          <w:rPr>
            <w:rStyle w:val="Hyperlink"/>
            <w:noProof/>
          </w:rPr>
          <w:t>Disclosure of personal information to Te Tūāpapa Kura Kāinga</w:t>
        </w:r>
        <w:r>
          <w:rPr>
            <w:noProof/>
            <w:webHidden/>
          </w:rPr>
          <w:tab/>
        </w:r>
        <w:r>
          <w:rPr>
            <w:noProof/>
            <w:webHidden/>
          </w:rPr>
          <w:fldChar w:fldCharType="begin"/>
        </w:r>
        <w:r>
          <w:rPr>
            <w:noProof/>
            <w:webHidden/>
          </w:rPr>
          <w:instrText xml:space="preserve"> PAGEREF _Toc208995956 \h </w:instrText>
        </w:r>
        <w:r>
          <w:rPr>
            <w:noProof/>
            <w:webHidden/>
          </w:rPr>
        </w:r>
        <w:r>
          <w:rPr>
            <w:noProof/>
            <w:webHidden/>
          </w:rPr>
          <w:fldChar w:fldCharType="separate"/>
        </w:r>
        <w:r w:rsidR="001D2B52">
          <w:rPr>
            <w:noProof/>
            <w:webHidden/>
          </w:rPr>
          <w:t>29</w:t>
        </w:r>
        <w:r>
          <w:rPr>
            <w:noProof/>
            <w:webHidden/>
          </w:rPr>
          <w:fldChar w:fldCharType="end"/>
        </w:r>
      </w:hyperlink>
    </w:p>
    <w:p w14:paraId="2650BDC2" w14:textId="1C35F465"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57" w:history="1">
        <w:r w:rsidRPr="006A7F75">
          <w:rPr>
            <w:rStyle w:val="Hyperlink"/>
            <w:noProof/>
          </w:rPr>
          <w:t>Conflict of interest</w:t>
        </w:r>
        <w:r>
          <w:rPr>
            <w:noProof/>
            <w:webHidden/>
          </w:rPr>
          <w:tab/>
        </w:r>
        <w:r>
          <w:rPr>
            <w:noProof/>
            <w:webHidden/>
          </w:rPr>
          <w:fldChar w:fldCharType="begin"/>
        </w:r>
        <w:r>
          <w:rPr>
            <w:noProof/>
            <w:webHidden/>
          </w:rPr>
          <w:instrText xml:space="preserve"> PAGEREF _Toc208995957 \h </w:instrText>
        </w:r>
        <w:r>
          <w:rPr>
            <w:noProof/>
            <w:webHidden/>
          </w:rPr>
        </w:r>
        <w:r>
          <w:rPr>
            <w:noProof/>
            <w:webHidden/>
          </w:rPr>
          <w:fldChar w:fldCharType="separate"/>
        </w:r>
        <w:r w:rsidR="001D2B52">
          <w:rPr>
            <w:noProof/>
            <w:webHidden/>
          </w:rPr>
          <w:t>29</w:t>
        </w:r>
        <w:r>
          <w:rPr>
            <w:noProof/>
            <w:webHidden/>
          </w:rPr>
          <w:fldChar w:fldCharType="end"/>
        </w:r>
      </w:hyperlink>
    </w:p>
    <w:p w14:paraId="028C8835" w14:textId="55E1BDB8" w:rsidR="00117F5B" w:rsidRDefault="00117F5B" w:rsidP="00D23A69">
      <w:pPr>
        <w:pStyle w:val="TOC3"/>
        <w:spacing w:line="274" w:lineRule="auto"/>
        <w:rPr>
          <w:rFonts w:asciiTheme="minorHAnsi" w:eastAsiaTheme="minorEastAsia" w:hAnsiTheme="minorHAnsi"/>
          <w:noProof/>
          <w:kern w:val="2"/>
          <w:szCs w:val="30"/>
          <w:lang w:eastAsia="zh-CN" w:bidi="th-TH"/>
          <w14:ligatures w14:val="standardContextual"/>
        </w:rPr>
      </w:pPr>
      <w:hyperlink w:anchor="_Toc208995958" w:history="1">
        <w:r w:rsidRPr="006A7F75">
          <w:rPr>
            <w:rStyle w:val="Hyperlink"/>
            <w:noProof/>
          </w:rPr>
          <w:t>Managing conflicts of interest</w:t>
        </w:r>
        <w:r>
          <w:rPr>
            <w:noProof/>
            <w:webHidden/>
          </w:rPr>
          <w:tab/>
        </w:r>
        <w:r>
          <w:rPr>
            <w:noProof/>
            <w:webHidden/>
          </w:rPr>
          <w:fldChar w:fldCharType="begin"/>
        </w:r>
        <w:r>
          <w:rPr>
            <w:noProof/>
            <w:webHidden/>
          </w:rPr>
          <w:instrText xml:space="preserve"> PAGEREF _Toc208995958 \h </w:instrText>
        </w:r>
        <w:r>
          <w:rPr>
            <w:noProof/>
            <w:webHidden/>
          </w:rPr>
        </w:r>
        <w:r>
          <w:rPr>
            <w:noProof/>
            <w:webHidden/>
          </w:rPr>
          <w:fldChar w:fldCharType="separate"/>
        </w:r>
        <w:r w:rsidR="001D2B52">
          <w:rPr>
            <w:noProof/>
            <w:webHidden/>
          </w:rPr>
          <w:t>29</w:t>
        </w:r>
        <w:r>
          <w:rPr>
            <w:noProof/>
            <w:webHidden/>
          </w:rPr>
          <w:fldChar w:fldCharType="end"/>
        </w:r>
      </w:hyperlink>
    </w:p>
    <w:p w14:paraId="64520CBA" w14:textId="1EFC6C3E" w:rsidR="00117F5B" w:rsidRDefault="00117F5B" w:rsidP="00D23A69">
      <w:pPr>
        <w:pStyle w:val="TOC1"/>
        <w:tabs>
          <w:tab w:val="right" w:leader="dot" w:pos="9016"/>
        </w:tabs>
        <w:spacing w:line="274" w:lineRule="auto"/>
        <w:rPr>
          <w:noProof/>
        </w:rPr>
      </w:pPr>
      <w:hyperlink w:anchor="_Toc208995959" w:history="1">
        <w:r w:rsidRPr="006A7F75">
          <w:rPr>
            <w:rStyle w:val="Hyperlink"/>
            <w:noProof/>
          </w:rPr>
          <w:t>6.3 Reporting and monitoring</w:t>
        </w:r>
        <w:r>
          <w:rPr>
            <w:noProof/>
            <w:webHidden/>
          </w:rPr>
          <w:tab/>
        </w:r>
        <w:r>
          <w:rPr>
            <w:noProof/>
            <w:webHidden/>
          </w:rPr>
          <w:fldChar w:fldCharType="begin"/>
        </w:r>
        <w:r>
          <w:rPr>
            <w:noProof/>
            <w:webHidden/>
          </w:rPr>
          <w:instrText xml:space="preserve"> PAGEREF _Toc208995959 \h </w:instrText>
        </w:r>
        <w:r>
          <w:rPr>
            <w:noProof/>
            <w:webHidden/>
          </w:rPr>
        </w:r>
        <w:r>
          <w:rPr>
            <w:noProof/>
            <w:webHidden/>
          </w:rPr>
          <w:fldChar w:fldCharType="separate"/>
        </w:r>
        <w:r w:rsidR="001D2B52">
          <w:rPr>
            <w:noProof/>
            <w:webHidden/>
          </w:rPr>
          <w:t>30</w:t>
        </w:r>
        <w:r>
          <w:rPr>
            <w:noProof/>
            <w:webHidden/>
          </w:rPr>
          <w:fldChar w:fldCharType="end"/>
        </w:r>
      </w:hyperlink>
    </w:p>
    <w:p w14:paraId="3ABF339C" w14:textId="30EA9413"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0" w:history="1">
        <w:r w:rsidRPr="006A7F75">
          <w:rPr>
            <w:rStyle w:val="Hyperlink"/>
            <w:noProof/>
          </w:rPr>
          <w:t>Other monitoring requirements</w:t>
        </w:r>
        <w:r>
          <w:rPr>
            <w:noProof/>
            <w:webHidden/>
          </w:rPr>
          <w:tab/>
        </w:r>
        <w:r>
          <w:rPr>
            <w:noProof/>
            <w:webHidden/>
          </w:rPr>
          <w:fldChar w:fldCharType="begin"/>
        </w:r>
        <w:r>
          <w:rPr>
            <w:noProof/>
            <w:webHidden/>
          </w:rPr>
          <w:instrText xml:space="preserve"> PAGEREF _Toc208995960 \h </w:instrText>
        </w:r>
        <w:r>
          <w:rPr>
            <w:noProof/>
            <w:webHidden/>
          </w:rPr>
        </w:r>
        <w:r>
          <w:rPr>
            <w:noProof/>
            <w:webHidden/>
          </w:rPr>
          <w:fldChar w:fldCharType="separate"/>
        </w:r>
        <w:r w:rsidR="001D2B52">
          <w:rPr>
            <w:noProof/>
            <w:webHidden/>
          </w:rPr>
          <w:t>30</w:t>
        </w:r>
        <w:r>
          <w:rPr>
            <w:noProof/>
            <w:webHidden/>
          </w:rPr>
          <w:fldChar w:fldCharType="end"/>
        </w:r>
      </w:hyperlink>
    </w:p>
    <w:p w14:paraId="542BB1B3" w14:textId="57D4489C" w:rsidR="00117F5B" w:rsidRDefault="00117F5B" w:rsidP="00D23A69">
      <w:pPr>
        <w:pStyle w:val="TOC1"/>
        <w:tabs>
          <w:tab w:val="right" w:leader="dot" w:pos="9016"/>
        </w:tabs>
        <w:spacing w:line="274" w:lineRule="auto"/>
        <w:rPr>
          <w:noProof/>
        </w:rPr>
      </w:pPr>
      <w:hyperlink w:anchor="_Toc208995961" w:history="1">
        <w:r w:rsidRPr="006A7F75">
          <w:rPr>
            <w:rStyle w:val="Hyperlink"/>
            <w:noProof/>
          </w:rPr>
          <w:t>6.4 Business continuity</w:t>
        </w:r>
        <w:r>
          <w:rPr>
            <w:noProof/>
            <w:webHidden/>
          </w:rPr>
          <w:tab/>
        </w:r>
        <w:r>
          <w:rPr>
            <w:noProof/>
            <w:webHidden/>
          </w:rPr>
          <w:fldChar w:fldCharType="begin"/>
        </w:r>
        <w:r>
          <w:rPr>
            <w:noProof/>
            <w:webHidden/>
          </w:rPr>
          <w:instrText xml:space="preserve"> PAGEREF _Toc208995961 \h </w:instrText>
        </w:r>
        <w:r>
          <w:rPr>
            <w:noProof/>
            <w:webHidden/>
          </w:rPr>
        </w:r>
        <w:r>
          <w:rPr>
            <w:noProof/>
            <w:webHidden/>
          </w:rPr>
          <w:fldChar w:fldCharType="separate"/>
        </w:r>
        <w:r w:rsidR="001D2B52">
          <w:rPr>
            <w:noProof/>
            <w:webHidden/>
          </w:rPr>
          <w:t>30</w:t>
        </w:r>
        <w:r>
          <w:rPr>
            <w:noProof/>
            <w:webHidden/>
          </w:rPr>
          <w:fldChar w:fldCharType="end"/>
        </w:r>
      </w:hyperlink>
    </w:p>
    <w:p w14:paraId="2B4D0B8D" w14:textId="4D009A1D"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2" w:history="1">
        <w:r w:rsidRPr="006A7F75">
          <w:rPr>
            <w:rStyle w:val="Hyperlink"/>
            <w:noProof/>
          </w:rPr>
          <w:t>Provider business continuity plan</w:t>
        </w:r>
        <w:r>
          <w:rPr>
            <w:noProof/>
            <w:webHidden/>
          </w:rPr>
          <w:tab/>
        </w:r>
        <w:r>
          <w:rPr>
            <w:noProof/>
            <w:webHidden/>
          </w:rPr>
          <w:fldChar w:fldCharType="begin"/>
        </w:r>
        <w:r>
          <w:rPr>
            <w:noProof/>
            <w:webHidden/>
          </w:rPr>
          <w:instrText xml:space="preserve"> PAGEREF _Toc208995962 \h </w:instrText>
        </w:r>
        <w:r>
          <w:rPr>
            <w:noProof/>
            <w:webHidden/>
          </w:rPr>
        </w:r>
        <w:r>
          <w:rPr>
            <w:noProof/>
            <w:webHidden/>
          </w:rPr>
          <w:fldChar w:fldCharType="separate"/>
        </w:r>
        <w:r w:rsidR="001D2B52">
          <w:rPr>
            <w:noProof/>
            <w:webHidden/>
          </w:rPr>
          <w:t>30</w:t>
        </w:r>
        <w:r>
          <w:rPr>
            <w:noProof/>
            <w:webHidden/>
          </w:rPr>
          <w:fldChar w:fldCharType="end"/>
        </w:r>
      </w:hyperlink>
    </w:p>
    <w:p w14:paraId="45C0ECCD" w14:textId="678F254F"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3" w:history="1">
        <w:r w:rsidRPr="006A7F75">
          <w:rPr>
            <w:rStyle w:val="Hyperlink"/>
            <w:noProof/>
          </w:rPr>
          <w:t>THVM business continuity plan</w:t>
        </w:r>
        <w:r>
          <w:rPr>
            <w:noProof/>
            <w:webHidden/>
          </w:rPr>
          <w:tab/>
        </w:r>
        <w:r>
          <w:rPr>
            <w:noProof/>
            <w:webHidden/>
          </w:rPr>
          <w:fldChar w:fldCharType="begin"/>
        </w:r>
        <w:r>
          <w:rPr>
            <w:noProof/>
            <w:webHidden/>
          </w:rPr>
          <w:instrText xml:space="preserve"> PAGEREF _Toc208995963 \h </w:instrText>
        </w:r>
        <w:r>
          <w:rPr>
            <w:noProof/>
            <w:webHidden/>
          </w:rPr>
        </w:r>
        <w:r>
          <w:rPr>
            <w:noProof/>
            <w:webHidden/>
          </w:rPr>
          <w:fldChar w:fldCharType="separate"/>
        </w:r>
        <w:r w:rsidR="001D2B52">
          <w:rPr>
            <w:noProof/>
            <w:webHidden/>
          </w:rPr>
          <w:t>30</w:t>
        </w:r>
        <w:r>
          <w:rPr>
            <w:noProof/>
            <w:webHidden/>
          </w:rPr>
          <w:fldChar w:fldCharType="end"/>
        </w:r>
      </w:hyperlink>
    </w:p>
    <w:p w14:paraId="15494061" w14:textId="528F01A3" w:rsidR="00117F5B" w:rsidRDefault="00117F5B" w:rsidP="00D23A69">
      <w:pPr>
        <w:pStyle w:val="TOC1"/>
        <w:tabs>
          <w:tab w:val="right" w:leader="dot" w:pos="9016"/>
        </w:tabs>
        <w:spacing w:line="274" w:lineRule="auto"/>
        <w:rPr>
          <w:noProof/>
        </w:rPr>
      </w:pPr>
      <w:hyperlink w:anchor="_Toc208995964" w:history="1">
        <w:r w:rsidRPr="006A7F75">
          <w:rPr>
            <w:rStyle w:val="Hyperlink"/>
            <w:noProof/>
          </w:rPr>
          <w:t>Appendix 1: Definitions</w:t>
        </w:r>
        <w:r>
          <w:rPr>
            <w:noProof/>
            <w:webHidden/>
          </w:rPr>
          <w:tab/>
        </w:r>
        <w:r>
          <w:rPr>
            <w:noProof/>
            <w:webHidden/>
          </w:rPr>
          <w:fldChar w:fldCharType="begin"/>
        </w:r>
        <w:r>
          <w:rPr>
            <w:noProof/>
            <w:webHidden/>
          </w:rPr>
          <w:instrText xml:space="preserve"> PAGEREF _Toc208995964 \h </w:instrText>
        </w:r>
        <w:r>
          <w:rPr>
            <w:noProof/>
            <w:webHidden/>
          </w:rPr>
        </w:r>
        <w:r>
          <w:rPr>
            <w:noProof/>
            <w:webHidden/>
          </w:rPr>
          <w:fldChar w:fldCharType="separate"/>
        </w:r>
        <w:r w:rsidR="001D2B52">
          <w:rPr>
            <w:noProof/>
            <w:webHidden/>
          </w:rPr>
          <w:t>31</w:t>
        </w:r>
        <w:r>
          <w:rPr>
            <w:noProof/>
            <w:webHidden/>
          </w:rPr>
          <w:fldChar w:fldCharType="end"/>
        </w:r>
      </w:hyperlink>
    </w:p>
    <w:p w14:paraId="36377CCA" w14:textId="02E4AC02" w:rsidR="00117F5B" w:rsidRDefault="00117F5B" w:rsidP="00D23A69">
      <w:pPr>
        <w:pStyle w:val="TOC1"/>
        <w:tabs>
          <w:tab w:val="right" w:leader="dot" w:pos="9016"/>
        </w:tabs>
        <w:spacing w:line="274" w:lineRule="auto"/>
        <w:rPr>
          <w:noProof/>
        </w:rPr>
      </w:pPr>
      <w:hyperlink w:anchor="_Toc208995965" w:history="1">
        <w:r w:rsidRPr="006A7F75">
          <w:rPr>
            <w:rStyle w:val="Hyperlink"/>
            <w:noProof/>
          </w:rPr>
          <w:t>Appendix 2: Content requirements for housing agreements</w:t>
        </w:r>
        <w:r>
          <w:rPr>
            <w:noProof/>
            <w:webHidden/>
          </w:rPr>
          <w:tab/>
        </w:r>
        <w:r>
          <w:rPr>
            <w:noProof/>
            <w:webHidden/>
          </w:rPr>
          <w:fldChar w:fldCharType="begin"/>
        </w:r>
        <w:r>
          <w:rPr>
            <w:noProof/>
            <w:webHidden/>
          </w:rPr>
          <w:instrText xml:space="preserve"> PAGEREF _Toc208995965 \h </w:instrText>
        </w:r>
        <w:r>
          <w:rPr>
            <w:noProof/>
            <w:webHidden/>
          </w:rPr>
        </w:r>
        <w:r>
          <w:rPr>
            <w:noProof/>
            <w:webHidden/>
          </w:rPr>
          <w:fldChar w:fldCharType="separate"/>
        </w:r>
        <w:r w:rsidR="001D2B52">
          <w:rPr>
            <w:noProof/>
            <w:webHidden/>
          </w:rPr>
          <w:t>34</w:t>
        </w:r>
        <w:r>
          <w:rPr>
            <w:noProof/>
            <w:webHidden/>
          </w:rPr>
          <w:fldChar w:fldCharType="end"/>
        </w:r>
      </w:hyperlink>
    </w:p>
    <w:p w14:paraId="09BB2A07" w14:textId="0F263A64"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6" w:history="1">
        <w:r w:rsidRPr="006A7F75">
          <w:rPr>
            <w:rStyle w:val="Hyperlink"/>
            <w:noProof/>
          </w:rPr>
          <w:t>General</w:t>
        </w:r>
        <w:r>
          <w:rPr>
            <w:noProof/>
            <w:webHidden/>
          </w:rPr>
          <w:tab/>
        </w:r>
        <w:r>
          <w:rPr>
            <w:noProof/>
            <w:webHidden/>
          </w:rPr>
          <w:fldChar w:fldCharType="begin"/>
        </w:r>
        <w:r>
          <w:rPr>
            <w:noProof/>
            <w:webHidden/>
          </w:rPr>
          <w:instrText xml:space="preserve"> PAGEREF _Toc208995966 \h </w:instrText>
        </w:r>
        <w:r>
          <w:rPr>
            <w:noProof/>
            <w:webHidden/>
          </w:rPr>
        </w:r>
        <w:r>
          <w:rPr>
            <w:noProof/>
            <w:webHidden/>
          </w:rPr>
          <w:fldChar w:fldCharType="separate"/>
        </w:r>
        <w:r w:rsidR="001D2B52">
          <w:rPr>
            <w:noProof/>
            <w:webHidden/>
          </w:rPr>
          <w:t>34</w:t>
        </w:r>
        <w:r>
          <w:rPr>
            <w:noProof/>
            <w:webHidden/>
          </w:rPr>
          <w:fldChar w:fldCharType="end"/>
        </w:r>
      </w:hyperlink>
    </w:p>
    <w:p w14:paraId="6C47FD72" w14:textId="324D9ED7"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7" w:history="1">
        <w:r w:rsidRPr="006A7F75">
          <w:rPr>
            <w:rStyle w:val="Hyperlink"/>
            <w:noProof/>
          </w:rPr>
          <w:t>Household responsibilities</w:t>
        </w:r>
        <w:r>
          <w:rPr>
            <w:noProof/>
            <w:webHidden/>
          </w:rPr>
          <w:tab/>
        </w:r>
        <w:r>
          <w:rPr>
            <w:noProof/>
            <w:webHidden/>
          </w:rPr>
          <w:fldChar w:fldCharType="begin"/>
        </w:r>
        <w:r>
          <w:rPr>
            <w:noProof/>
            <w:webHidden/>
          </w:rPr>
          <w:instrText xml:space="preserve"> PAGEREF _Toc208995967 \h </w:instrText>
        </w:r>
        <w:r>
          <w:rPr>
            <w:noProof/>
            <w:webHidden/>
          </w:rPr>
        </w:r>
        <w:r>
          <w:rPr>
            <w:noProof/>
            <w:webHidden/>
          </w:rPr>
          <w:fldChar w:fldCharType="separate"/>
        </w:r>
        <w:r w:rsidR="001D2B52">
          <w:rPr>
            <w:noProof/>
            <w:webHidden/>
          </w:rPr>
          <w:t>35</w:t>
        </w:r>
        <w:r>
          <w:rPr>
            <w:noProof/>
            <w:webHidden/>
          </w:rPr>
          <w:fldChar w:fldCharType="end"/>
        </w:r>
      </w:hyperlink>
    </w:p>
    <w:p w14:paraId="20D2F361" w14:textId="252142D5"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68" w:history="1">
        <w:r w:rsidRPr="006A7F75">
          <w:rPr>
            <w:rStyle w:val="Hyperlink"/>
            <w:noProof/>
          </w:rPr>
          <w:t>Provider responsibilities</w:t>
        </w:r>
        <w:r>
          <w:rPr>
            <w:noProof/>
            <w:webHidden/>
          </w:rPr>
          <w:tab/>
        </w:r>
        <w:r>
          <w:rPr>
            <w:noProof/>
            <w:webHidden/>
          </w:rPr>
          <w:fldChar w:fldCharType="begin"/>
        </w:r>
        <w:r>
          <w:rPr>
            <w:noProof/>
            <w:webHidden/>
          </w:rPr>
          <w:instrText xml:space="preserve"> PAGEREF _Toc208995968 \h </w:instrText>
        </w:r>
        <w:r>
          <w:rPr>
            <w:noProof/>
            <w:webHidden/>
          </w:rPr>
        </w:r>
        <w:r>
          <w:rPr>
            <w:noProof/>
            <w:webHidden/>
          </w:rPr>
          <w:fldChar w:fldCharType="separate"/>
        </w:r>
        <w:r w:rsidR="001D2B52">
          <w:rPr>
            <w:noProof/>
            <w:webHidden/>
          </w:rPr>
          <w:t>36</w:t>
        </w:r>
        <w:r>
          <w:rPr>
            <w:noProof/>
            <w:webHidden/>
          </w:rPr>
          <w:fldChar w:fldCharType="end"/>
        </w:r>
      </w:hyperlink>
    </w:p>
    <w:p w14:paraId="57CF988B" w14:textId="5EFD87C9" w:rsidR="00117F5B" w:rsidRDefault="00117F5B" w:rsidP="00D23A69">
      <w:pPr>
        <w:pStyle w:val="TOC1"/>
        <w:tabs>
          <w:tab w:val="right" w:leader="dot" w:pos="9016"/>
        </w:tabs>
        <w:spacing w:line="274" w:lineRule="auto"/>
        <w:rPr>
          <w:noProof/>
        </w:rPr>
      </w:pPr>
      <w:hyperlink w:anchor="_Toc208995969" w:history="1">
        <w:r w:rsidRPr="006A7F75">
          <w:rPr>
            <w:rStyle w:val="Hyperlink"/>
            <w:noProof/>
          </w:rPr>
          <w:t>Appendix 3: Instructions and examples for calculating contributions for clients in transitional housing</w:t>
        </w:r>
        <w:r>
          <w:rPr>
            <w:noProof/>
            <w:webHidden/>
          </w:rPr>
          <w:tab/>
        </w:r>
        <w:r>
          <w:rPr>
            <w:noProof/>
            <w:webHidden/>
          </w:rPr>
          <w:fldChar w:fldCharType="begin"/>
        </w:r>
        <w:r>
          <w:rPr>
            <w:noProof/>
            <w:webHidden/>
          </w:rPr>
          <w:instrText xml:space="preserve"> PAGEREF _Toc208995969 \h </w:instrText>
        </w:r>
        <w:r>
          <w:rPr>
            <w:noProof/>
            <w:webHidden/>
          </w:rPr>
        </w:r>
        <w:r>
          <w:rPr>
            <w:noProof/>
            <w:webHidden/>
          </w:rPr>
          <w:fldChar w:fldCharType="separate"/>
        </w:r>
        <w:r w:rsidR="001D2B52">
          <w:rPr>
            <w:noProof/>
            <w:webHidden/>
          </w:rPr>
          <w:t>38</w:t>
        </w:r>
        <w:r>
          <w:rPr>
            <w:noProof/>
            <w:webHidden/>
          </w:rPr>
          <w:fldChar w:fldCharType="end"/>
        </w:r>
      </w:hyperlink>
    </w:p>
    <w:p w14:paraId="521BF133" w14:textId="251CA460"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0" w:history="1">
        <w:r w:rsidRPr="006A7F75">
          <w:rPr>
            <w:rStyle w:val="Hyperlink"/>
            <w:noProof/>
          </w:rPr>
          <w:t>How to calculate rate</w:t>
        </w:r>
        <w:r>
          <w:rPr>
            <w:noProof/>
            <w:webHidden/>
          </w:rPr>
          <w:tab/>
        </w:r>
        <w:r>
          <w:rPr>
            <w:noProof/>
            <w:webHidden/>
          </w:rPr>
          <w:fldChar w:fldCharType="begin"/>
        </w:r>
        <w:r>
          <w:rPr>
            <w:noProof/>
            <w:webHidden/>
          </w:rPr>
          <w:instrText xml:space="preserve"> PAGEREF _Toc208995970 \h </w:instrText>
        </w:r>
        <w:r>
          <w:rPr>
            <w:noProof/>
            <w:webHidden/>
          </w:rPr>
        </w:r>
        <w:r>
          <w:rPr>
            <w:noProof/>
            <w:webHidden/>
          </w:rPr>
          <w:fldChar w:fldCharType="separate"/>
        </w:r>
        <w:r w:rsidR="001D2B52">
          <w:rPr>
            <w:noProof/>
            <w:webHidden/>
          </w:rPr>
          <w:t>38</w:t>
        </w:r>
        <w:r>
          <w:rPr>
            <w:noProof/>
            <w:webHidden/>
          </w:rPr>
          <w:fldChar w:fldCharType="end"/>
        </w:r>
      </w:hyperlink>
    </w:p>
    <w:p w14:paraId="1501102A" w14:textId="02439F61"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1" w:history="1">
        <w:r w:rsidRPr="006A7F75">
          <w:rPr>
            <w:rStyle w:val="Hyperlink"/>
            <w:noProof/>
          </w:rPr>
          <w:t>Clients receiving benefits with no other income</w:t>
        </w:r>
        <w:r>
          <w:rPr>
            <w:noProof/>
            <w:webHidden/>
          </w:rPr>
          <w:tab/>
        </w:r>
        <w:r>
          <w:rPr>
            <w:noProof/>
            <w:webHidden/>
          </w:rPr>
          <w:fldChar w:fldCharType="begin"/>
        </w:r>
        <w:r>
          <w:rPr>
            <w:noProof/>
            <w:webHidden/>
          </w:rPr>
          <w:instrText xml:space="preserve"> PAGEREF _Toc208995971 \h </w:instrText>
        </w:r>
        <w:r>
          <w:rPr>
            <w:noProof/>
            <w:webHidden/>
          </w:rPr>
        </w:r>
        <w:r>
          <w:rPr>
            <w:noProof/>
            <w:webHidden/>
          </w:rPr>
          <w:fldChar w:fldCharType="separate"/>
        </w:r>
        <w:r w:rsidR="001D2B52">
          <w:rPr>
            <w:noProof/>
            <w:webHidden/>
          </w:rPr>
          <w:t>38</w:t>
        </w:r>
        <w:r>
          <w:rPr>
            <w:noProof/>
            <w:webHidden/>
          </w:rPr>
          <w:fldChar w:fldCharType="end"/>
        </w:r>
      </w:hyperlink>
    </w:p>
    <w:p w14:paraId="64D5DE8B" w14:textId="38BAC203"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2" w:history="1">
        <w:r w:rsidRPr="006A7F75">
          <w:rPr>
            <w:rStyle w:val="Hyperlink"/>
            <w:noProof/>
          </w:rPr>
          <w:t>Clients who are working or receiving benefits with other income</w:t>
        </w:r>
        <w:r>
          <w:rPr>
            <w:noProof/>
            <w:webHidden/>
          </w:rPr>
          <w:tab/>
        </w:r>
        <w:r>
          <w:rPr>
            <w:noProof/>
            <w:webHidden/>
          </w:rPr>
          <w:fldChar w:fldCharType="begin"/>
        </w:r>
        <w:r>
          <w:rPr>
            <w:noProof/>
            <w:webHidden/>
          </w:rPr>
          <w:instrText xml:space="preserve"> PAGEREF _Toc208995972 \h </w:instrText>
        </w:r>
        <w:r>
          <w:rPr>
            <w:noProof/>
            <w:webHidden/>
          </w:rPr>
        </w:r>
        <w:r>
          <w:rPr>
            <w:noProof/>
            <w:webHidden/>
          </w:rPr>
          <w:fldChar w:fldCharType="separate"/>
        </w:r>
        <w:r w:rsidR="001D2B52">
          <w:rPr>
            <w:noProof/>
            <w:webHidden/>
          </w:rPr>
          <w:t>38</w:t>
        </w:r>
        <w:r>
          <w:rPr>
            <w:noProof/>
            <w:webHidden/>
          </w:rPr>
          <w:fldChar w:fldCharType="end"/>
        </w:r>
      </w:hyperlink>
    </w:p>
    <w:p w14:paraId="7BC758AD" w14:textId="66AA94B3"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3" w:history="1">
        <w:r w:rsidRPr="006A7F75">
          <w:rPr>
            <w:rStyle w:val="Hyperlink"/>
            <w:noProof/>
          </w:rPr>
          <w:t>Family tax credits</w:t>
        </w:r>
        <w:r>
          <w:rPr>
            <w:noProof/>
            <w:webHidden/>
          </w:rPr>
          <w:tab/>
        </w:r>
        <w:r>
          <w:rPr>
            <w:noProof/>
            <w:webHidden/>
          </w:rPr>
          <w:fldChar w:fldCharType="begin"/>
        </w:r>
        <w:r>
          <w:rPr>
            <w:noProof/>
            <w:webHidden/>
          </w:rPr>
          <w:instrText xml:space="preserve"> PAGEREF _Toc208995973 \h </w:instrText>
        </w:r>
        <w:r>
          <w:rPr>
            <w:noProof/>
            <w:webHidden/>
          </w:rPr>
        </w:r>
        <w:r>
          <w:rPr>
            <w:noProof/>
            <w:webHidden/>
          </w:rPr>
          <w:fldChar w:fldCharType="separate"/>
        </w:r>
        <w:r w:rsidR="001D2B52">
          <w:rPr>
            <w:noProof/>
            <w:webHidden/>
          </w:rPr>
          <w:t>39</w:t>
        </w:r>
        <w:r>
          <w:rPr>
            <w:noProof/>
            <w:webHidden/>
          </w:rPr>
          <w:fldChar w:fldCharType="end"/>
        </w:r>
      </w:hyperlink>
    </w:p>
    <w:p w14:paraId="29A1F16A" w14:textId="0331D49F"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4" w:history="1">
        <w:r w:rsidRPr="006A7F75">
          <w:rPr>
            <w:rStyle w:val="Hyperlink"/>
            <w:noProof/>
          </w:rPr>
          <w:t>Charging less than the rate calculated</w:t>
        </w:r>
        <w:r>
          <w:rPr>
            <w:noProof/>
            <w:webHidden/>
          </w:rPr>
          <w:tab/>
        </w:r>
        <w:r>
          <w:rPr>
            <w:noProof/>
            <w:webHidden/>
          </w:rPr>
          <w:fldChar w:fldCharType="begin"/>
        </w:r>
        <w:r>
          <w:rPr>
            <w:noProof/>
            <w:webHidden/>
          </w:rPr>
          <w:instrText xml:space="preserve"> PAGEREF _Toc208995974 \h </w:instrText>
        </w:r>
        <w:r>
          <w:rPr>
            <w:noProof/>
            <w:webHidden/>
          </w:rPr>
        </w:r>
        <w:r>
          <w:rPr>
            <w:noProof/>
            <w:webHidden/>
          </w:rPr>
          <w:fldChar w:fldCharType="separate"/>
        </w:r>
        <w:r w:rsidR="001D2B52">
          <w:rPr>
            <w:noProof/>
            <w:webHidden/>
          </w:rPr>
          <w:t>39</w:t>
        </w:r>
        <w:r>
          <w:rPr>
            <w:noProof/>
            <w:webHidden/>
          </w:rPr>
          <w:fldChar w:fldCharType="end"/>
        </w:r>
      </w:hyperlink>
    </w:p>
    <w:p w14:paraId="44B7400E" w14:textId="33FAF07A"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5" w:history="1">
        <w:r w:rsidRPr="006A7F75">
          <w:rPr>
            <w:rStyle w:val="Hyperlink"/>
            <w:noProof/>
          </w:rPr>
          <w:t>Paying the contribution: redirections from MSD Work and Income</w:t>
        </w:r>
        <w:r>
          <w:rPr>
            <w:noProof/>
            <w:webHidden/>
          </w:rPr>
          <w:tab/>
        </w:r>
        <w:r>
          <w:rPr>
            <w:noProof/>
            <w:webHidden/>
          </w:rPr>
          <w:fldChar w:fldCharType="begin"/>
        </w:r>
        <w:r>
          <w:rPr>
            <w:noProof/>
            <w:webHidden/>
          </w:rPr>
          <w:instrText xml:space="preserve"> PAGEREF _Toc208995975 \h </w:instrText>
        </w:r>
        <w:r>
          <w:rPr>
            <w:noProof/>
            <w:webHidden/>
          </w:rPr>
        </w:r>
        <w:r>
          <w:rPr>
            <w:noProof/>
            <w:webHidden/>
          </w:rPr>
          <w:fldChar w:fldCharType="separate"/>
        </w:r>
        <w:r w:rsidR="001D2B52">
          <w:rPr>
            <w:noProof/>
            <w:webHidden/>
          </w:rPr>
          <w:t>39</w:t>
        </w:r>
        <w:r>
          <w:rPr>
            <w:noProof/>
            <w:webHidden/>
          </w:rPr>
          <w:fldChar w:fldCharType="end"/>
        </w:r>
      </w:hyperlink>
    </w:p>
    <w:p w14:paraId="45213D0A" w14:textId="5D9639EC"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6" w:history="1">
        <w:r w:rsidRPr="006A7F75">
          <w:rPr>
            <w:rStyle w:val="Hyperlink"/>
            <w:noProof/>
          </w:rPr>
          <w:t>Paying the contribution: People who are working</w:t>
        </w:r>
        <w:r>
          <w:rPr>
            <w:noProof/>
            <w:webHidden/>
          </w:rPr>
          <w:tab/>
        </w:r>
        <w:r>
          <w:rPr>
            <w:noProof/>
            <w:webHidden/>
          </w:rPr>
          <w:fldChar w:fldCharType="begin"/>
        </w:r>
        <w:r>
          <w:rPr>
            <w:noProof/>
            <w:webHidden/>
          </w:rPr>
          <w:instrText xml:space="preserve"> PAGEREF _Toc208995976 \h </w:instrText>
        </w:r>
        <w:r>
          <w:rPr>
            <w:noProof/>
            <w:webHidden/>
          </w:rPr>
        </w:r>
        <w:r>
          <w:rPr>
            <w:noProof/>
            <w:webHidden/>
          </w:rPr>
          <w:fldChar w:fldCharType="separate"/>
        </w:r>
        <w:r w:rsidR="001D2B52">
          <w:rPr>
            <w:noProof/>
            <w:webHidden/>
          </w:rPr>
          <w:t>40</w:t>
        </w:r>
        <w:r>
          <w:rPr>
            <w:noProof/>
            <w:webHidden/>
          </w:rPr>
          <w:fldChar w:fldCharType="end"/>
        </w:r>
      </w:hyperlink>
    </w:p>
    <w:p w14:paraId="272F8E50" w14:textId="12AA588A"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7" w:history="1">
        <w:r w:rsidRPr="006A7F75">
          <w:rPr>
            <w:rStyle w:val="Hyperlink"/>
            <w:noProof/>
          </w:rPr>
          <w:t>Client contribution arrears</w:t>
        </w:r>
        <w:r>
          <w:rPr>
            <w:noProof/>
            <w:webHidden/>
          </w:rPr>
          <w:tab/>
        </w:r>
        <w:r>
          <w:rPr>
            <w:noProof/>
            <w:webHidden/>
          </w:rPr>
          <w:fldChar w:fldCharType="begin"/>
        </w:r>
        <w:r>
          <w:rPr>
            <w:noProof/>
            <w:webHidden/>
          </w:rPr>
          <w:instrText xml:space="preserve"> PAGEREF _Toc208995977 \h </w:instrText>
        </w:r>
        <w:r>
          <w:rPr>
            <w:noProof/>
            <w:webHidden/>
          </w:rPr>
        </w:r>
        <w:r>
          <w:rPr>
            <w:noProof/>
            <w:webHidden/>
          </w:rPr>
          <w:fldChar w:fldCharType="separate"/>
        </w:r>
        <w:r w:rsidR="001D2B52">
          <w:rPr>
            <w:noProof/>
            <w:webHidden/>
          </w:rPr>
          <w:t>40</w:t>
        </w:r>
        <w:r>
          <w:rPr>
            <w:noProof/>
            <w:webHidden/>
          </w:rPr>
          <w:fldChar w:fldCharType="end"/>
        </w:r>
      </w:hyperlink>
    </w:p>
    <w:p w14:paraId="66735932" w14:textId="591CD93B"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8" w:history="1">
        <w:r w:rsidRPr="006A7F75">
          <w:rPr>
            <w:rStyle w:val="Hyperlink"/>
            <w:noProof/>
          </w:rPr>
          <w:t>Utilities charges – transitional housing properties</w:t>
        </w:r>
        <w:r>
          <w:rPr>
            <w:noProof/>
            <w:webHidden/>
          </w:rPr>
          <w:tab/>
        </w:r>
        <w:r>
          <w:rPr>
            <w:noProof/>
            <w:webHidden/>
          </w:rPr>
          <w:fldChar w:fldCharType="begin"/>
        </w:r>
        <w:r>
          <w:rPr>
            <w:noProof/>
            <w:webHidden/>
          </w:rPr>
          <w:instrText xml:space="preserve"> PAGEREF _Toc208995978 \h </w:instrText>
        </w:r>
        <w:r>
          <w:rPr>
            <w:noProof/>
            <w:webHidden/>
          </w:rPr>
        </w:r>
        <w:r>
          <w:rPr>
            <w:noProof/>
            <w:webHidden/>
          </w:rPr>
          <w:fldChar w:fldCharType="separate"/>
        </w:r>
        <w:r w:rsidR="001D2B52">
          <w:rPr>
            <w:noProof/>
            <w:webHidden/>
          </w:rPr>
          <w:t>40</w:t>
        </w:r>
        <w:r>
          <w:rPr>
            <w:noProof/>
            <w:webHidden/>
          </w:rPr>
          <w:fldChar w:fldCharType="end"/>
        </w:r>
      </w:hyperlink>
    </w:p>
    <w:p w14:paraId="7231AD9A" w14:textId="62943D40"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79" w:history="1">
        <w:r w:rsidRPr="006A7F75">
          <w:rPr>
            <w:rStyle w:val="Hyperlink"/>
            <w:noProof/>
          </w:rPr>
          <w:t>Utilities charges – transitional housing models</w:t>
        </w:r>
        <w:r>
          <w:rPr>
            <w:noProof/>
            <w:webHidden/>
          </w:rPr>
          <w:tab/>
        </w:r>
        <w:r>
          <w:rPr>
            <w:noProof/>
            <w:webHidden/>
          </w:rPr>
          <w:fldChar w:fldCharType="begin"/>
        </w:r>
        <w:r>
          <w:rPr>
            <w:noProof/>
            <w:webHidden/>
          </w:rPr>
          <w:instrText xml:space="preserve"> PAGEREF _Toc208995979 \h </w:instrText>
        </w:r>
        <w:r>
          <w:rPr>
            <w:noProof/>
            <w:webHidden/>
          </w:rPr>
        </w:r>
        <w:r>
          <w:rPr>
            <w:noProof/>
            <w:webHidden/>
          </w:rPr>
          <w:fldChar w:fldCharType="separate"/>
        </w:r>
        <w:r w:rsidR="001D2B52">
          <w:rPr>
            <w:noProof/>
            <w:webHidden/>
          </w:rPr>
          <w:t>41</w:t>
        </w:r>
        <w:r>
          <w:rPr>
            <w:noProof/>
            <w:webHidden/>
          </w:rPr>
          <w:fldChar w:fldCharType="end"/>
        </w:r>
      </w:hyperlink>
    </w:p>
    <w:p w14:paraId="76DDCFFF" w14:textId="27DE0FD2" w:rsidR="00117F5B" w:rsidRDefault="00117F5B" w:rsidP="00D23A69">
      <w:pPr>
        <w:pStyle w:val="TOC1"/>
        <w:tabs>
          <w:tab w:val="right" w:leader="dot" w:pos="9016"/>
        </w:tabs>
        <w:spacing w:line="274" w:lineRule="auto"/>
        <w:rPr>
          <w:noProof/>
        </w:rPr>
      </w:pPr>
      <w:hyperlink w:anchor="_Toc208995980" w:history="1">
        <w:r w:rsidRPr="006A7F75">
          <w:rPr>
            <w:rStyle w:val="Hyperlink"/>
            <w:noProof/>
          </w:rPr>
          <w:t>Appendix 4: Incident and event template and guidance</w:t>
        </w:r>
        <w:r>
          <w:rPr>
            <w:noProof/>
            <w:webHidden/>
          </w:rPr>
          <w:tab/>
        </w:r>
        <w:r>
          <w:rPr>
            <w:noProof/>
            <w:webHidden/>
          </w:rPr>
          <w:fldChar w:fldCharType="begin"/>
        </w:r>
        <w:r>
          <w:rPr>
            <w:noProof/>
            <w:webHidden/>
          </w:rPr>
          <w:instrText xml:space="preserve"> PAGEREF _Toc208995980 \h </w:instrText>
        </w:r>
        <w:r>
          <w:rPr>
            <w:noProof/>
            <w:webHidden/>
          </w:rPr>
        </w:r>
        <w:r>
          <w:rPr>
            <w:noProof/>
            <w:webHidden/>
          </w:rPr>
          <w:fldChar w:fldCharType="separate"/>
        </w:r>
        <w:r w:rsidR="001D2B52">
          <w:rPr>
            <w:noProof/>
            <w:webHidden/>
          </w:rPr>
          <w:t>42</w:t>
        </w:r>
        <w:r>
          <w:rPr>
            <w:noProof/>
            <w:webHidden/>
          </w:rPr>
          <w:fldChar w:fldCharType="end"/>
        </w:r>
      </w:hyperlink>
    </w:p>
    <w:p w14:paraId="36816EEF" w14:textId="41DC5A0A" w:rsidR="00117F5B" w:rsidRDefault="00117F5B" w:rsidP="00D23A69">
      <w:pPr>
        <w:pStyle w:val="TOC1"/>
        <w:tabs>
          <w:tab w:val="right" w:leader="dot" w:pos="9016"/>
        </w:tabs>
        <w:spacing w:line="274" w:lineRule="auto"/>
        <w:rPr>
          <w:noProof/>
        </w:rPr>
      </w:pPr>
      <w:hyperlink w:anchor="_Toc208995981" w:history="1">
        <w:r w:rsidRPr="006A7F75">
          <w:rPr>
            <w:rStyle w:val="Hyperlink"/>
            <w:noProof/>
          </w:rPr>
          <w:t>Appendix 5: MSD business continuity plan</w:t>
        </w:r>
        <w:r>
          <w:rPr>
            <w:noProof/>
            <w:webHidden/>
          </w:rPr>
          <w:tab/>
        </w:r>
        <w:r>
          <w:rPr>
            <w:noProof/>
            <w:webHidden/>
          </w:rPr>
          <w:fldChar w:fldCharType="begin"/>
        </w:r>
        <w:r>
          <w:rPr>
            <w:noProof/>
            <w:webHidden/>
          </w:rPr>
          <w:instrText xml:space="preserve"> PAGEREF _Toc208995981 \h </w:instrText>
        </w:r>
        <w:r>
          <w:rPr>
            <w:noProof/>
            <w:webHidden/>
          </w:rPr>
        </w:r>
        <w:r>
          <w:rPr>
            <w:noProof/>
            <w:webHidden/>
          </w:rPr>
          <w:fldChar w:fldCharType="separate"/>
        </w:r>
        <w:r w:rsidR="001D2B52">
          <w:rPr>
            <w:noProof/>
            <w:webHidden/>
          </w:rPr>
          <w:t>44</w:t>
        </w:r>
        <w:r>
          <w:rPr>
            <w:noProof/>
            <w:webHidden/>
          </w:rPr>
          <w:fldChar w:fldCharType="end"/>
        </w:r>
      </w:hyperlink>
    </w:p>
    <w:p w14:paraId="1E89A60F" w14:textId="47002711"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82" w:history="1">
        <w:r w:rsidRPr="006A7F75">
          <w:rPr>
            <w:rStyle w:val="Hyperlink"/>
            <w:noProof/>
          </w:rPr>
          <w:t>Business continuity process</w:t>
        </w:r>
        <w:r>
          <w:rPr>
            <w:noProof/>
            <w:webHidden/>
          </w:rPr>
          <w:tab/>
        </w:r>
        <w:r>
          <w:rPr>
            <w:noProof/>
            <w:webHidden/>
          </w:rPr>
          <w:fldChar w:fldCharType="begin"/>
        </w:r>
        <w:r>
          <w:rPr>
            <w:noProof/>
            <w:webHidden/>
          </w:rPr>
          <w:instrText xml:space="preserve"> PAGEREF _Toc208995982 \h </w:instrText>
        </w:r>
        <w:r>
          <w:rPr>
            <w:noProof/>
            <w:webHidden/>
          </w:rPr>
        </w:r>
        <w:r>
          <w:rPr>
            <w:noProof/>
            <w:webHidden/>
          </w:rPr>
          <w:fldChar w:fldCharType="separate"/>
        </w:r>
        <w:r w:rsidR="001D2B52">
          <w:rPr>
            <w:noProof/>
            <w:webHidden/>
          </w:rPr>
          <w:t>44</w:t>
        </w:r>
        <w:r>
          <w:rPr>
            <w:noProof/>
            <w:webHidden/>
          </w:rPr>
          <w:fldChar w:fldCharType="end"/>
        </w:r>
      </w:hyperlink>
    </w:p>
    <w:p w14:paraId="21B4621F" w14:textId="14274161" w:rsidR="00117F5B" w:rsidRDefault="00117F5B" w:rsidP="00D23A69">
      <w:pPr>
        <w:pStyle w:val="TOC2"/>
        <w:spacing w:line="274" w:lineRule="auto"/>
        <w:rPr>
          <w:rFonts w:asciiTheme="minorHAnsi" w:eastAsiaTheme="minorEastAsia" w:hAnsiTheme="minorHAnsi" w:cstheme="minorBidi"/>
          <w:noProof/>
          <w:kern w:val="2"/>
          <w:szCs w:val="30"/>
          <w:lang w:eastAsia="zh-CN" w:bidi="th-TH"/>
          <w14:ligatures w14:val="standardContextual"/>
        </w:rPr>
      </w:pPr>
      <w:hyperlink w:anchor="_Toc208995983" w:history="1">
        <w:r w:rsidRPr="006A7F75">
          <w:rPr>
            <w:rStyle w:val="Hyperlink"/>
            <w:noProof/>
          </w:rPr>
          <w:t>Iron key process</w:t>
        </w:r>
        <w:r>
          <w:rPr>
            <w:noProof/>
            <w:webHidden/>
          </w:rPr>
          <w:tab/>
        </w:r>
        <w:r>
          <w:rPr>
            <w:noProof/>
            <w:webHidden/>
          </w:rPr>
          <w:fldChar w:fldCharType="begin"/>
        </w:r>
        <w:r>
          <w:rPr>
            <w:noProof/>
            <w:webHidden/>
          </w:rPr>
          <w:instrText xml:space="preserve"> PAGEREF _Toc208995983 \h </w:instrText>
        </w:r>
        <w:r>
          <w:rPr>
            <w:noProof/>
            <w:webHidden/>
          </w:rPr>
        </w:r>
        <w:r>
          <w:rPr>
            <w:noProof/>
            <w:webHidden/>
          </w:rPr>
          <w:fldChar w:fldCharType="separate"/>
        </w:r>
        <w:r w:rsidR="001D2B52">
          <w:rPr>
            <w:noProof/>
            <w:webHidden/>
          </w:rPr>
          <w:t>44</w:t>
        </w:r>
        <w:r>
          <w:rPr>
            <w:noProof/>
            <w:webHidden/>
          </w:rPr>
          <w:fldChar w:fldCharType="end"/>
        </w:r>
      </w:hyperlink>
    </w:p>
    <w:p w14:paraId="2024FC7B" w14:textId="5A471E63" w:rsidR="00117F5B" w:rsidRDefault="00117F5B" w:rsidP="00D23A69">
      <w:pPr>
        <w:pStyle w:val="TOC1"/>
        <w:tabs>
          <w:tab w:val="right" w:leader="dot" w:pos="9016"/>
        </w:tabs>
        <w:spacing w:line="274" w:lineRule="auto"/>
        <w:rPr>
          <w:noProof/>
        </w:rPr>
      </w:pPr>
      <w:hyperlink w:anchor="_Toc208995984" w:history="1">
        <w:r w:rsidRPr="006A7F75">
          <w:rPr>
            <w:rStyle w:val="Hyperlink"/>
            <w:noProof/>
          </w:rPr>
          <w:t>Appendix 6: Contribution amounts for beneficiaries as of 1 April 2025</w:t>
        </w:r>
        <w:r>
          <w:rPr>
            <w:noProof/>
            <w:webHidden/>
          </w:rPr>
          <w:tab/>
        </w:r>
        <w:r>
          <w:rPr>
            <w:noProof/>
            <w:webHidden/>
          </w:rPr>
          <w:fldChar w:fldCharType="begin"/>
        </w:r>
        <w:r>
          <w:rPr>
            <w:noProof/>
            <w:webHidden/>
          </w:rPr>
          <w:instrText xml:space="preserve"> PAGEREF _Toc208995984 \h </w:instrText>
        </w:r>
        <w:r>
          <w:rPr>
            <w:noProof/>
            <w:webHidden/>
          </w:rPr>
        </w:r>
        <w:r>
          <w:rPr>
            <w:noProof/>
            <w:webHidden/>
          </w:rPr>
          <w:fldChar w:fldCharType="separate"/>
        </w:r>
        <w:r w:rsidR="001D2B52">
          <w:rPr>
            <w:noProof/>
            <w:webHidden/>
          </w:rPr>
          <w:t>45</w:t>
        </w:r>
        <w:r>
          <w:rPr>
            <w:noProof/>
            <w:webHidden/>
          </w:rPr>
          <w:fldChar w:fldCharType="end"/>
        </w:r>
      </w:hyperlink>
    </w:p>
    <w:p w14:paraId="45F6BD85" w14:textId="5A59BC46" w:rsidR="00117F5B" w:rsidRDefault="00117F5B" w:rsidP="00D23A69">
      <w:pPr>
        <w:pStyle w:val="TOC1"/>
        <w:tabs>
          <w:tab w:val="right" w:leader="dot" w:pos="9016"/>
        </w:tabs>
        <w:spacing w:line="274" w:lineRule="auto"/>
        <w:rPr>
          <w:noProof/>
        </w:rPr>
      </w:pPr>
      <w:hyperlink w:anchor="_Toc208995985" w:history="1">
        <w:r w:rsidRPr="006A7F75">
          <w:rPr>
            <w:rStyle w:val="Hyperlink"/>
            <w:noProof/>
          </w:rPr>
          <w:t xml:space="preserve">Appendix 7: </w:t>
        </w:r>
        <w:r>
          <w:rPr>
            <w:rStyle w:val="Hyperlink"/>
            <w:noProof/>
          </w:rPr>
          <w:t>C</w:t>
        </w:r>
        <w:r w:rsidRPr="006A7F75">
          <w:rPr>
            <w:rStyle w:val="Hyperlink"/>
            <w:noProof/>
          </w:rPr>
          <w:t>omments field in the TVHM the provider must complete</w:t>
        </w:r>
        <w:r>
          <w:rPr>
            <w:noProof/>
            <w:webHidden/>
          </w:rPr>
          <w:tab/>
        </w:r>
        <w:r>
          <w:rPr>
            <w:noProof/>
            <w:webHidden/>
          </w:rPr>
          <w:fldChar w:fldCharType="begin"/>
        </w:r>
        <w:r>
          <w:rPr>
            <w:noProof/>
            <w:webHidden/>
          </w:rPr>
          <w:instrText xml:space="preserve"> PAGEREF _Toc208995985 \h </w:instrText>
        </w:r>
        <w:r>
          <w:rPr>
            <w:noProof/>
            <w:webHidden/>
          </w:rPr>
        </w:r>
        <w:r>
          <w:rPr>
            <w:noProof/>
            <w:webHidden/>
          </w:rPr>
          <w:fldChar w:fldCharType="separate"/>
        </w:r>
        <w:r w:rsidR="001D2B52">
          <w:rPr>
            <w:noProof/>
            <w:webHidden/>
          </w:rPr>
          <w:t>48</w:t>
        </w:r>
        <w:r>
          <w:rPr>
            <w:noProof/>
            <w:webHidden/>
          </w:rPr>
          <w:fldChar w:fldCharType="end"/>
        </w:r>
      </w:hyperlink>
    </w:p>
    <w:p w14:paraId="4D4DE719" w14:textId="4503FF1F" w:rsidR="00C80640" w:rsidRDefault="00117F5B" w:rsidP="00D23A69">
      <w:pPr>
        <w:pStyle w:val="HUDHeading1"/>
      </w:pPr>
      <w:r>
        <w:lastRenderedPageBreak/>
        <w:fldChar w:fldCharType="end"/>
      </w:r>
      <w:bookmarkStart w:id="2" w:name="_Toc208995889"/>
      <w:r w:rsidR="00E83FB5">
        <w:t>1.0 Purpose of the transitional housing guidelines</w:t>
      </w:r>
      <w:bookmarkEnd w:id="2"/>
    </w:p>
    <w:p w14:paraId="34F7462A" w14:textId="12B1F8E7" w:rsidR="00E83FB5" w:rsidRPr="00E83FB5" w:rsidRDefault="00E83FB5" w:rsidP="00E83FB5">
      <w:pPr>
        <w:pStyle w:val="HUDBody"/>
        <w:rPr>
          <w:rFonts w:cs="Arial"/>
        </w:rPr>
      </w:pPr>
      <w:r w:rsidRPr="00E83FB5">
        <w:rPr>
          <w:rFonts w:cs="Arial"/>
        </w:rPr>
        <w:t>The</w:t>
      </w:r>
      <w:r w:rsidR="00BF273A">
        <w:rPr>
          <w:rFonts w:cs="Arial"/>
        </w:rPr>
        <w:t>se</w:t>
      </w:r>
      <w:r w:rsidRPr="00E83FB5">
        <w:rPr>
          <w:rFonts w:cs="Arial"/>
        </w:rPr>
        <w:t xml:space="preserve"> operational guidelines are for providers of transitional housing. They support you, as a provider, to deliver transitional housing and meet the requirements of your services agreement with Te Tūāpapa Kura Kāinga – Ministry of Housing and Urban Development (</w:t>
      </w:r>
      <w:r w:rsidR="00BF273A">
        <w:rPr>
          <w:rFonts w:cs="Arial"/>
        </w:rPr>
        <w:t>Te Tūāpapa Kura Kāinga</w:t>
      </w:r>
      <w:r w:rsidRPr="00E83FB5">
        <w:rPr>
          <w:rFonts w:cs="Arial"/>
        </w:rPr>
        <w:t xml:space="preserve">). </w:t>
      </w:r>
    </w:p>
    <w:p w14:paraId="0D4B8C95" w14:textId="1F6F0AF6" w:rsidR="00E83FB5" w:rsidRPr="00E83FB5" w:rsidRDefault="00E83FB5" w:rsidP="00E83FB5">
      <w:pPr>
        <w:pStyle w:val="HUDBody"/>
        <w:rPr>
          <w:rFonts w:cs="Arial"/>
        </w:rPr>
      </w:pPr>
      <w:r w:rsidRPr="00E83FB5">
        <w:rPr>
          <w:rFonts w:cs="Arial"/>
        </w:rPr>
        <w:t xml:space="preserve">The guidelines are effective from September 2025 and supersede previous versions. Please read the guidelines with your </w:t>
      </w:r>
      <w:r w:rsidR="00BF273A">
        <w:rPr>
          <w:rFonts w:cs="Arial"/>
        </w:rPr>
        <w:t>s</w:t>
      </w:r>
      <w:r w:rsidRPr="00E83FB5">
        <w:rPr>
          <w:rFonts w:cs="Arial"/>
        </w:rPr>
        <w:t xml:space="preserve">ervices </w:t>
      </w:r>
      <w:r w:rsidR="00BF273A">
        <w:rPr>
          <w:rFonts w:cs="Arial"/>
        </w:rPr>
        <w:t>a</w:t>
      </w:r>
      <w:r w:rsidRPr="00E83FB5">
        <w:rPr>
          <w:rFonts w:cs="Arial"/>
        </w:rPr>
        <w:t xml:space="preserve">greement and </w:t>
      </w:r>
      <w:r w:rsidR="00BF273A">
        <w:rPr>
          <w:rFonts w:cs="Arial"/>
        </w:rPr>
        <w:t>r</w:t>
      </w:r>
      <w:r w:rsidRPr="00E83FB5">
        <w:rPr>
          <w:rFonts w:cs="Arial"/>
        </w:rPr>
        <w:t xml:space="preserve">elationship </w:t>
      </w:r>
      <w:r w:rsidR="00BF273A">
        <w:rPr>
          <w:rFonts w:cs="Arial"/>
        </w:rPr>
        <w:t>a</w:t>
      </w:r>
      <w:r w:rsidRPr="00E83FB5">
        <w:rPr>
          <w:rFonts w:cs="Arial"/>
        </w:rPr>
        <w:t xml:space="preserve">greement. </w:t>
      </w:r>
    </w:p>
    <w:p w14:paraId="265CE302" w14:textId="231E5A41" w:rsidR="00E83FB5" w:rsidRPr="00E83FB5" w:rsidRDefault="00E83FB5" w:rsidP="00E83FB5">
      <w:pPr>
        <w:pStyle w:val="HUDBody"/>
        <w:rPr>
          <w:rFonts w:cs="Arial"/>
        </w:rPr>
      </w:pPr>
      <w:r w:rsidRPr="00E83FB5">
        <w:rPr>
          <w:rFonts w:cs="Arial"/>
        </w:rPr>
        <w:t xml:space="preserve">In this document, the term ‘you’ is used to refer to you as a contracted provider </w:t>
      </w:r>
      <w:r w:rsidR="00BF273A">
        <w:rPr>
          <w:rFonts w:cs="Arial"/>
        </w:rPr>
        <w:t xml:space="preserve">of Te Tūāpapa Kura Kāinga </w:t>
      </w:r>
      <w:r w:rsidRPr="00E83FB5">
        <w:rPr>
          <w:rFonts w:cs="Arial"/>
        </w:rPr>
        <w:t xml:space="preserve">and ‘household’ to describe people residing in transitional housing. This is equivalent to the Te Manatū Whakahiato Ora </w:t>
      </w:r>
      <w:r w:rsidR="00BF273A">
        <w:rPr>
          <w:rFonts w:cs="Arial"/>
        </w:rPr>
        <w:t>–</w:t>
      </w:r>
      <w:r w:rsidRPr="00E83FB5">
        <w:rPr>
          <w:rFonts w:cs="Arial"/>
        </w:rPr>
        <w:t xml:space="preserve"> Ministry of Social Development (MSD) term ‘clients’ or ‘applicant’. </w:t>
      </w:r>
      <w:r w:rsidR="00BF273A">
        <w:rPr>
          <w:rFonts w:cs="Arial"/>
        </w:rPr>
        <w:t>‘We’, ‘us’ and ‘our’ refer to Te Tūāpapa Kura Kāinga – Ministry of Housing and Urban Development.</w:t>
      </w:r>
    </w:p>
    <w:p w14:paraId="17F8C731" w14:textId="0C685DBE" w:rsidR="00F564CD" w:rsidRDefault="00D23A69" w:rsidP="00E83FB5">
      <w:pPr>
        <w:pStyle w:val="HUDBody"/>
        <w:rPr>
          <w:rFonts w:cs="Arial"/>
        </w:rPr>
      </w:pPr>
      <w:r>
        <w:rPr>
          <w:rFonts w:cs="Arial"/>
        </w:rPr>
        <w:t>F</w:t>
      </w:r>
      <w:r w:rsidR="00E83FB5" w:rsidRPr="00E83FB5">
        <w:rPr>
          <w:rFonts w:cs="Arial"/>
        </w:rPr>
        <w:t>or the definition of relevant terms used in these guidelines</w:t>
      </w:r>
      <w:r>
        <w:rPr>
          <w:rFonts w:cs="Arial"/>
        </w:rPr>
        <w:t xml:space="preserve"> see</w:t>
      </w:r>
      <w:r w:rsidR="001C2E6B">
        <w:rPr>
          <w:rFonts w:cs="Arial"/>
        </w:rPr>
        <w:t xml:space="preserve"> </w:t>
      </w:r>
      <w:hyperlink w:anchor="AP1" w:history="1">
        <w:r w:rsidR="001C2E6B">
          <w:rPr>
            <w:rStyle w:val="Hyperlink"/>
            <w:rFonts w:cs="Arial"/>
          </w:rPr>
          <w:t>a</w:t>
        </w:r>
        <w:r w:rsidR="00F564CD" w:rsidRPr="00F564CD">
          <w:rPr>
            <w:rStyle w:val="Hyperlink"/>
            <w:rFonts w:cs="Arial"/>
          </w:rPr>
          <w:t>ppendix one</w:t>
        </w:r>
      </w:hyperlink>
      <w:r w:rsidR="001C2E6B">
        <w:t>.</w:t>
      </w:r>
    </w:p>
    <w:p w14:paraId="05A8BCF5" w14:textId="77777777" w:rsidR="00B04939" w:rsidRDefault="00B04939" w:rsidP="00E83FB5">
      <w:pPr>
        <w:pStyle w:val="HUDBody"/>
        <w:rPr>
          <w:rFonts w:cs="Arial"/>
        </w:rPr>
      </w:pPr>
    </w:p>
    <w:p w14:paraId="29A53FF3" w14:textId="274E191F" w:rsidR="00E83FB5" w:rsidRDefault="00E83FB5" w:rsidP="00E83FB5">
      <w:pPr>
        <w:pStyle w:val="HUDHeading1"/>
      </w:pPr>
      <w:bookmarkStart w:id="3" w:name="_Toc208995890"/>
      <w:r>
        <w:t>2.0 Roles and responsibilities</w:t>
      </w:r>
      <w:bookmarkEnd w:id="3"/>
    </w:p>
    <w:p w14:paraId="14857F4D" w14:textId="21D064D3" w:rsidR="00E83FB5" w:rsidRPr="00E83FB5" w:rsidRDefault="00E83FB5" w:rsidP="00E83FB5">
      <w:pPr>
        <w:pStyle w:val="HUDBody"/>
        <w:rPr>
          <w:rFonts w:cs="Arial"/>
        </w:rPr>
      </w:pPr>
      <w:r w:rsidRPr="00E83FB5">
        <w:rPr>
          <w:rFonts w:cs="Arial"/>
        </w:rPr>
        <w:t>As a contracted provider</w:t>
      </w:r>
      <w:r w:rsidR="00BF273A">
        <w:rPr>
          <w:rFonts w:cs="Arial"/>
        </w:rPr>
        <w:t xml:space="preserve"> to Te Tūāpapa Kura Kāinga</w:t>
      </w:r>
      <w:r w:rsidRPr="00E83FB5">
        <w:rPr>
          <w:rFonts w:cs="Arial"/>
        </w:rPr>
        <w:t xml:space="preserve">, you are responsible for complying with and fulfilling your obligations under your </w:t>
      </w:r>
      <w:r w:rsidR="00BF273A">
        <w:rPr>
          <w:rFonts w:cs="Arial"/>
        </w:rPr>
        <w:t>s</w:t>
      </w:r>
      <w:r w:rsidRPr="00E83FB5">
        <w:rPr>
          <w:rFonts w:cs="Arial"/>
        </w:rPr>
        <w:t xml:space="preserve">ervices </w:t>
      </w:r>
      <w:r w:rsidR="00BF273A">
        <w:rPr>
          <w:rFonts w:cs="Arial"/>
        </w:rPr>
        <w:t>a</w:t>
      </w:r>
      <w:r w:rsidRPr="00E83FB5">
        <w:rPr>
          <w:rFonts w:cs="Arial"/>
        </w:rPr>
        <w:t xml:space="preserve">greement and </w:t>
      </w:r>
      <w:r w:rsidR="00BF273A">
        <w:rPr>
          <w:rFonts w:cs="Arial"/>
        </w:rPr>
        <w:t>r</w:t>
      </w:r>
      <w:r w:rsidRPr="00E83FB5">
        <w:rPr>
          <w:rFonts w:cs="Arial"/>
        </w:rPr>
        <w:t xml:space="preserve">elationship </w:t>
      </w:r>
      <w:r w:rsidR="00BF273A">
        <w:rPr>
          <w:rFonts w:cs="Arial"/>
        </w:rPr>
        <w:t>a</w:t>
      </w:r>
      <w:r w:rsidRPr="00E83FB5">
        <w:rPr>
          <w:rFonts w:cs="Arial"/>
        </w:rPr>
        <w:t xml:space="preserve">greement. </w:t>
      </w:r>
    </w:p>
    <w:p w14:paraId="607176A0" w14:textId="26E1EB9E" w:rsidR="00E83FB5" w:rsidRDefault="00E83FB5" w:rsidP="00E83FB5">
      <w:pPr>
        <w:pStyle w:val="HUDBody"/>
        <w:rPr>
          <w:rFonts w:cs="Arial"/>
        </w:rPr>
      </w:pPr>
      <w:r w:rsidRPr="00E83FB5">
        <w:rPr>
          <w:rFonts w:cs="Arial"/>
        </w:rPr>
        <w:t xml:space="preserve">In the event of any inconsistency, conflict or ambiguity between the </w:t>
      </w:r>
      <w:r w:rsidR="00BF273A">
        <w:rPr>
          <w:rFonts w:cs="Arial"/>
        </w:rPr>
        <w:t>s</w:t>
      </w:r>
      <w:r w:rsidRPr="00E83FB5">
        <w:rPr>
          <w:rFonts w:cs="Arial"/>
        </w:rPr>
        <w:t xml:space="preserve">ervices </w:t>
      </w:r>
      <w:r w:rsidR="00BF273A">
        <w:rPr>
          <w:rFonts w:cs="Arial"/>
        </w:rPr>
        <w:t>a</w:t>
      </w:r>
      <w:r w:rsidRPr="00E83FB5">
        <w:rPr>
          <w:rFonts w:cs="Arial"/>
        </w:rPr>
        <w:t xml:space="preserve">greement and these </w:t>
      </w:r>
      <w:r w:rsidR="00BF273A">
        <w:rPr>
          <w:rFonts w:cs="Arial"/>
        </w:rPr>
        <w:t>o</w:t>
      </w:r>
      <w:r w:rsidRPr="00E83FB5">
        <w:rPr>
          <w:rFonts w:cs="Arial"/>
        </w:rPr>
        <w:t xml:space="preserve">perational </w:t>
      </w:r>
      <w:r w:rsidR="00BF273A">
        <w:rPr>
          <w:rFonts w:cs="Arial"/>
        </w:rPr>
        <w:t>g</w:t>
      </w:r>
      <w:r w:rsidRPr="00E83FB5">
        <w:rPr>
          <w:rFonts w:cs="Arial"/>
        </w:rPr>
        <w:t xml:space="preserve">uidelines, the terms of the </w:t>
      </w:r>
      <w:r w:rsidR="00BF273A">
        <w:rPr>
          <w:rFonts w:cs="Arial"/>
        </w:rPr>
        <w:t>s</w:t>
      </w:r>
      <w:r w:rsidRPr="00E83FB5">
        <w:rPr>
          <w:rFonts w:cs="Arial"/>
        </w:rPr>
        <w:t xml:space="preserve">ervices </w:t>
      </w:r>
      <w:r w:rsidR="00BF273A">
        <w:rPr>
          <w:rFonts w:cs="Arial"/>
        </w:rPr>
        <w:t>a</w:t>
      </w:r>
      <w:r w:rsidRPr="00E83FB5">
        <w:rPr>
          <w:rFonts w:cs="Arial"/>
        </w:rPr>
        <w:t xml:space="preserve">greement will prevail. These </w:t>
      </w:r>
      <w:r w:rsidR="00BF273A">
        <w:rPr>
          <w:rFonts w:cs="Arial"/>
        </w:rPr>
        <w:t>g</w:t>
      </w:r>
      <w:r w:rsidRPr="00E83FB5">
        <w:rPr>
          <w:rFonts w:cs="Arial"/>
        </w:rPr>
        <w:t xml:space="preserve">uidelines support providers </w:t>
      </w:r>
      <w:r w:rsidR="00BF273A">
        <w:rPr>
          <w:rFonts w:cs="Arial"/>
        </w:rPr>
        <w:t>to</w:t>
      </w:r>
      <w:r w:rsidR="00BF273A" w:rsidRPr="00E83FB5">
        <w:rPr>
          <w:rFonts w:cs="Arial"/>
        </w:rPr>
        <w:t xml:space="preserve"> </w:t>
      </w:r>
      <w:r w:rsidRPr="00E83FB5">
        <w:rPr>
          <w:rFonts w:cs="Arial"/>
        </w:rPr>
        <w:t xml:space="preserve">meet their contractual obligations but do not replace or override the legal requirements set out in the </w:t>
      </w:r>
      <w:r w:rsidR="00BF273A">
        <w:rPr>
          <w:rFonts w:cs="Arial"/>
        </w:rPr>
        <w:t>s</w:t>
      </w:r>
      <w:r w:rsidRPr="00E83FB5">
        <w:rPr>
          <w:rFonts w:cs="Arial"/>
        </w:rPr>
        <w:t xml:space="preserve">ervices </w:t>
      </w:r>
      <w:r w:rsidR="00BF273A">
        <w:rPr>
          <w:rFonts w:cs="Arial"/>
        </w:rPr>
        <w:t>a</w:t>
      </w:r>
      <w:r w:rsidRPr="00E83FB5">
        <w:rPr>
          <w:rFonts w:cs="Arial"/>
        </w:rPr>
        <w:t xml:space="preserve">greement or </w:t>
      </w:r>
      <w:r w:rsidR="00BF273A">
        <w:rPr>
          <w:rFonts w:cs="Arial"/>
        </w:rPr>
        <w:t>r</w:t>
      </w:r>
      <w:r w:rsidRPr="00E83FB5">
        <w:rPr>
          <w:rFonts w:cs="Arial"/>
        </w:rPr>
        <w:t xml:space="preserve">elationship </w:t>
      </w:r>
      <w:r w:rsidR="00BF273A">
        <w:rPr>
          <w:rFonts w:cs="Arial"/>
        </w:rPr>
        <w:t>a</w:t>
      </w:r>
      <w:r w:rsidRPr="00E83FB5">
        <w:rPr>
          <w:rFonts w:cs="Arial"/>
        </w:rPr>
        <w:t xml:space="preserve">greement. </w:t>
      </w:r>
    </w:p>
    <w:p w14:paraId="7F9C21C8" w14:textId="56767A80" w:rsidR="0093428E" w:rsidRPr="00E83FB5" w:rsidRDefault="0093428E" w:rsidP="00E83FB5">
      <w:pPr>
        <w:pStyle w:val="HUDBody"/>
        <w:rPr>
          <w:rFonts w:cs="Arial"/>
        </w:rPr>
      </w:pPr>
      <w:r>
        <w:rPr>
          <w:rFonts w:cs="Arial"/>
        </w:rPr>
        <w:t>Y</w:t>
      </w:r>
      <w:r w:rsidRPr="005232BD">
        <w:rPr>
          <w:rFonts w:cs="Arial"/>
        </w:rPr>
        <w:t>ou are obliged to maintain a relationship with</w:t>
      </w:r>
      <w:r>
        <w:rPr>
          <w:rFonts w:cs="Arial"/>
        </w:rPr>
        <w:t xml:space="preserve"> your </w:t>
      </w:r>
      <w:r w:rsidR="00F87FDD">
        <w:rPr>
          <w:rFonts w:cs="Arial"/>
        </w:rPr>
        <w:t>S</w:t>
      </w:r>
      <w:r>
        <w:rPr>
          <w:rFonts w:cs="Arial"/>
        </w:rPr>
        <w:t xml:space="preserve">enior </w:t>
      </w:r>
      <w:r w:rsidR="00F87FDD">
        <w:rPr>
          <w:rFonts w:cs="Arial"/>
        </w:rPr>
        <w:t>A</w:t>
      </w:r>
      <w:r>
        <w:rPr>
          <w:rFonts w:cs="Arial"/>
        </w:rPr>
        <w:t>dvisor at Te Tūāpapa Kura Kāinga and your Regional Manager at MSD.</w:t>
      </w:r>
    </w:p>
    <w:p w14:paraId="7BE0C72A" w14:textId="77777777" w:rsidR="00E83FB5" w:rsidRPr="00E83FB5" w:rsidRDefault="00E83FB5" w:rsidP="00E83FB5">
      <w:pPr>
        <w:pStyle w:val="HUDBody"/>
        <w:rPr>
          <w:rFonts w:cs="Arial"/>
        </w:rPr>
      </w:pPr>
      <w:r w:rsidRPr="00E83FB5">
        <w:rPr>
          <w:rFonts w:cs="Arial"/>
        </w:rPr>
        <w:t xml:space="preserve">Households are responsible for complying with and fulfilling their obligations under their housing agreement with you (and any support service-related documentation they may sign).  </w:t>
      </w:r>
    </w:p>
    <w:p w14:paraId="34DB9D51" w14:textId="34419D02" w:rsidR="00BF273A" w:rsidRDefault="00E83FB5" w:rsidP="00E83FB5">
      <w:pPr>
        <w:pStyle w:val="HUDBody"/>
        <w:rPr>
          <w:rFonts w:cs="Arial"/>
        </w:rPr>
      </w:pPr>
      <w:r w:rsidRPr="00E83FB5">
        <w:rPr>
          <w:rFonts w:cs="Arial"/>
        </w:rPr>
        <w:t xml:space="preserve">Households are also responsible for notifying MSD of any changes in their circumstances that might affect the payments they receive from MSD, their </w:t>
      </w:r>
      <w:r w:rsidR="00BF273A">
        <w:rPr>
          <w:rFonts w:cs="Arial"/>
        </w:rPr>
        <w:t>h</w:t>
      </w:r>
      <w:r w:rsidRPr="00E83FB5">
        <w:rPr>
          <w:rFonts w:cs="Arial"/>
        </w:rPr>
        <w:t xml:space="preserve">ousing </w:t>
      </w:r>
      <w:r w:rsidR="00BF273A">
        <w:rPr>
          <w:rFonts w:cs="Arial"/>
        </w:rPr>
        <w:t>r</w:t>
      </w:r>
      <w:r w:rsidRPr="00E83FB5">
        <w:rPr>
          <w:rFonts w:cs="Arial"/>
        </w:rPr>
        <w:t>egister priority rating or their eligibility for social housing.</w:t>
      </w:r>
    </w:p>
    <w:p w14:paraId="66E25F6B" w14:textId="77777777" w:rsidR="00BF273A" w:rsidRDefault="00BF273A">
      <w:pPr>
        <w:spacing w:after="160" w:line="278" w:lineRule="auto"/>
        <w:rPr>
          <w:rFonts w:cs="Arial"/>
          <w:szCs w:val="24"/>
        </w:rPr>
      </w:pPr>
      <w:r>
        <w:rPr>
          <w:rFonts w:cs="Arial"/>
        </w:rPr>
        <w:br w:type="page"/>
      </w:r>
    </w:p>
    <w:tbl>
      <w:tblPr>
        <w:tblStyle w:val="TableGrid"/>
        <w:tblW w:w="0" w:type="auto"/>
        <w:tblLook w:val="04A0" w:firstRow="1" w:lastRow="0" w:firstColumn="1" w:lastColumn="0" w:noHBand="0" w:noVBand="1"/>
      </w:tblPr>
      <w:tblGrid>
        <w:gridCol w:w="3005"/>
        <w:gridCol w:w="3005"/>
        <w:gridCol w:w="3006"/>
      </w:tblGrid>
      <w:tr w:rsidR="00E83FB5" w14:paraId="55378AC4" w14:textId="77777777" w:rsidTr="00BF2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6C5A09D1" w14:textId="541480F9" w:rsidR="00E83FB5" w:rsidRDefault="00E83FB5" w:rsidP="00E83FB5">
            <w:pPr>
              <w:pStyle w:val="HUDBody"/>
              <w:rPr>
                <w:rFonts w:cs="Arial"/>
              </w:rPr>
            </w:pPr>
            <w:r>
              <w:rPr>
                <w:rFonts w:cs="Arial"/>
              </w:rPr>
              <w:lastRenderedPageBreak/>
              <w:t>Government agency roles and responsibilities</w:t>
            </w:r>
          </w:p>
        </w:tc>
      </w:tr>
      <w:tr w:rsidR="00BF273A" w14:paraId="5E12C829" w14:textId="77777777" w:rsidTr="00BF273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4ED35426" w14:textId="3B0517C4" w:rsidR="00E83FB5" w:rsidRPr="00E83FB5" w:rsidRDefault="00E83FB5" w:rsidP="00E83FB5">
            <w:pPr>
              <w:pStyle w:val="HUDBody"/>
              <w:rPr>
                <w:rFonts w:cs="Arial"/>
              </w:rPr>
            </w:pPr>
            <w:r w:rsidRPr="00E83FB5">
              <w:rPr>
                <w:rFonts w:cs="Arial"/>
              </w:rPr>
              <w:t>MSD</w:t>
            </w:r>
          </w:p>
        </w:tc>
        <w:tc>
          <w:tcPr>
            <w:tcW w:w="3005" w:type="dxa"/>
          </w:tcPr>
          <w:p w14:paraId="1C501292" w14:textId="6E297BD0"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b/>
              </w:rPr>
            </w:pPr>
            <w:r w:rsidRPr="00E83FB5">
              <w:rPr>
                <w:rFonts w:cs="Arial"/>
                <w:b/>
              </w:rPr>
              <w:t>Te Tūāpapa Kura Kāinga</w:t>
            </w:r>
          </w:p>
        </w:tc>
        <w:tc>
          <w:tcPr>
            <w:tcW w:w="3006" w:type="dxa"/>
          </w:tcPr>
          <w:p w14:paraId="46E51992" w14:textId="0CD0A7C5"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b/>
              </w:rPr>
            </w:pPr>
            <w:r w:rsidRPr="00E83FB5">
              <w:rPr>
                <w:rFonts w:cs="Arial"/>
                <w:b/>
              </w:rPr>
              <w:t>Kāinga Ora</w:t>
            </w:r>
          </w:p>
        </w:tc>
      </w:tr>
      <w:tr w:rsidR="00BF273A" w14:paraId="593CE562" w14:textId="77777777" w:rsidTr="00BF273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46CEFE20" w14:textId="77777777" w:rsidR="00BF273A" w:rsidRPr="00BF273A" w:rsidRDefault="00E83FB5" w:rsidP="00E83FB5">
            <w:pPr>
              <w:pStyle w:val="HUDBullets"/>
              <w:rPr>
                <w:b w:val="0"/>
                <w:bCs/>
              </w:rPr>
            </w:pPr>
            <w:r w:rsidRPr="00BF273A">
              <w:rPr>
                <w:rFonts w:eastAsia="Times New Roman"/>
                <w:b w:val="0"/>
              </w:rPr>
              <w:t>Assesses</w:t>
            </w:r>
            <w:r w:rsidRPr="00BF273A">
              <w:rPr>
                <w:b w:val="0"/>
                <w:bCs/>
              </w:rPr>
              <w:t>:</w:t>
            </w:r>
          </w:p>
          <w:p w14:paraId="0D888BEF" w14:textId="77777777" w:rsidR="00BF273A" w:rsidRPr="00BF273A" w:rsidRDefault="00E83FB5" w:rsidP="00E83FB5">
            <w:pPr>
              <w:pStyle w:val="HUDBullets"/>
              <w:numPr>
                <w:ilvl w:val="1"/>
                <w:numId w:val="1"/>
              </w:numPr>
              <w:ind w:left="1093" w:hanging="540"/>
              <w:rPr>
                <w:b w:val="0"/>
              </w:rPr>
            </w:pPr>
            <w:r w:rsidRPr="00BF273A">
              <w:rPr>
                <w:rFonts w:cs="Arial"/>
                <w:b w:val="0"/>
              </w:rPr>
              <w:t>housing need</w:t>
            </w:r>
          </w:p>
          <w:p w14:paraId="23A5FF09" w14:textId="5DEAA353" w:rsidR="00E83FB5" w:rsidRPr="00BF273A" w:rsidRDefault="00E83FB5" w:rsidP="00E83FB5">
            <w:pPr>
              <w:pStyle w:val="HUDBullets"/>
              <w:numPr>
                <w:ilvl w:val="1"/>
                <w:numId w:val="1"/>
              </w:numPr>
              <w:ind w:left="1093" w:hanging="540"/>
              <w:rPr>
                <w:b w:val="0"/>
              </w:rPr>
            </w:pPr>
            <w:r w:rsidRPr="00BF273A">
              <w:rPr>
                <w:rFonts w:cs="Arial"/>
                <w:b w:val="0"/>
              </w:rPr>
              <w:t xml:space="preserve">eligibility for transitional housing. </w:t>
            </w:r>
          </w:p>
          <w:p w14:paraId="0F69B018" w14:textId="77777777" w:rsidR="00BF273A" w:rsidRPr="00BF273A" w:rsidRDefault="00E83FB5" w:rsidP="00E83FB5">
            <w:pPr>
              <w:pStyle w:val="HUDBullets"/>
              <w:rPr>
                <w:b w:val="0"/>
              </w:rPr>
            </w:pPr>
            <w:r w:rsidRPr="00BF273A">
              <w:rPr>
                <w:b w:val="0"/>
              </w:rPr>
              <w:t>Refers clients to providers for placement.</w:t>
            </w:r>
          </w:p>
          <w:p w14:paraId="3A346A81" w14:textId="77777777" w:rsidR="00BF273A" w:rsidRPr="00BF273A" w:rsidRDefault="00E83FB5" w:rsidP="00E83FB5">
            <w:pPr>
              <w:pStyle w:val="HUDBullets"/>
              <w:rPr>
                <w:b w:val="0"/>
              </w:rPr>
            </w:pPr>
            <w:r w:rsidRPr="00BF273A">
              <w:rPr>
                <w:rFonts w:cs="Arial"/>
                <w:b w:val="0"/>
              </w:rPr>
              <w:t>Delivers welfare support for clients (for example, approves a security deposit for clients).</w:t>
            </w:r>
          </w:p>
          <w:p w14:paraId="23774DF2" w14:textId="77777777" w:rsidR="00BF273A" w:rsidRPr="00BF273A" w:rsidRDefault="00E83FB5" w:rsidP="00E83FB5">
            <w:pPr>
              <w:pStyle w:val="HUDBullets"/>
              <w:rPr>
                <w:b w:val="0"/>
              </w:rPr>
            </w:pPr>
            <w:r w:rsidRPr="00BF273A">
              <w:rPr>
                <w:rFonts w:cs="Arial"/>
                <w:b w:val="0"/>
              </w:rPr>
              <w:t>Manages welfare support payments on a client’s behalf with providers, for example:</w:t>
            </w:r>
          </w:p>
          <w:p w14:paraId="78105C21" w14:textId="77777777" w:rsidR="00BF273A" w:rsidRPr="00BF273A" w:rsidRDefault="00E83FB5" w:rsidP="00BF273A">
            <w:pPr>
              <w:pStyle w:val="HUDBullets"/>
              <w:numPr>
                <w:ilvl w:val="1"/>
                <w:numId w:val="1"/>
              </w:numPr>
              <w:ind w:left="1093" w:hanging="527"/>
              <w:rPr>
                <w:rFonts w:cs="Arial"/>
                <w:b w:val="0"/>
              </w:rPr>
            </w:pPr>
            <w:r w:rsidRPr="00BF273A">
              <w:rPr>
                <w:rFonts w:cs="Arial"/>
                <w:b w:val="0"/>
              </w:rPr>
              <w:t>approves and pays security deposit claims</w:t>
            </w:r>
          </w:p>
          <w:p w14:paraId="1195A9BC" w14:textId="582AABDF" w:rsidR="00E83FB5" w:rsidRPr="00E83FB5" w:rsidRDefault="00E83FB5" w:rsidP="00BF273A">
            <w:pPr>
              <w:pStyle w:val="HUDBullets"/>
              <w:numPr>
                <w:ilvl w:val="1"/>
                <w:numId w:val="1"/>
              </w:numPr>
              <w:ind w:left="1093" w:hanging="527"/>
              <w:rPr>
                <w:rFonts w:cs="Arial"/>
                <w:b w:val="0"/>
                <w:bCs/>
              </w:rPr>
            </w:pPr>
            <w:r w:rsidRPr="00BF273A">
              <w:rPr>
                <w:rFonts w:cs="Arial"/>
                <w:b w:val="0"/>
              </w:rPr>
              <w:t>sets up redirections from a client’s benefit for their transitional housing contribution.</w:t>
            </w:r>
          </w:p>
        </w:tc>
        <w:tc>
          <w:tcPr>
            <w:tcW w:w="3005" w:type="dxa"/>
          </w:tcPr>
          <w:p w14:paraId="508AA591" w14:textId="77777777" w:rsidR="00E83FB5" w:rsidRPr="00BF273A" w:rsidRDefault="00E83FB5" w:rsidP="00BF273A">
            <w:pPr>
              <w:pStyle w:val="ListParagraph"/>
              <w:numPr>
                <w:ilvl w:val="0"/>
                <w:numId w:val="3"/>
              </w:numPr>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Funds providers.</w:t>
            </w:r>
          </w:p>
          <w:p w14:paraId="71FE994B" w14:textId="77777777" w:rsidR="00E83FB5" w:rsidRPr="00BF273A" w:rsidRDefault="00E83FB5" w:rsidP="00BF273A">
            <w:pPr>
              <w:pStyle w:val="ListParagraph"/>
              <w:numPr>
                <w:ilvl w:val="0"/>
                <w:numId w:val="3"/>
              </w:numPr>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Manages:</w:t>
            </w:r>
          </w:p>
          <w:p w14:paraId="4F4BC87B"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 xml:space="preserve">providers </w:t>
            </w:r>
          </w:p>
          <w:p w14:paraId="295708CD"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provider contracts</w:t>
            </w:r>
          </w:p>
          <w:p w14:paraId="0AF96C74"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payments</w:t>
            </w:r>
          </w:p>
          <w:p w14:paraId="1DC258A9"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properties</w:t>
            </w:r>
          </w:p>
          <w:p w14:paraId="43D01FEA"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reporting</w:t>
            </w:r>
          </w:p>
          <w:p w14:paraId="226529A7" w14:textId="77777777" w:rsidR="00E83FB5" w:rsidRPr="00BF273A" w:rsidRDefault="00E83FB5" w:rsidP="00E83FB5">
            <w:pPr>
              <w:pStyle w:val="ListParagraph"/>
              <w:numPr>
                <w:ilvl w:val="1"/>
                <w:numId w:val="3"/>
              </w:numPr>
              <w:spacing w:before="120"/>
              <w:ind w:left="715"/>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performance.</w:t>
            </w:r>
          </w:p>
          <w:p w14:paraId="1DFBB6C0" w14:textId="77777777" w:rsidR="00E83FB5" w:rsidRPr="00BF273A" w:rsidRDefault="00E83FB5" w:rsidP="00E83FB5">
            <w:pPr>
              <w:pStyle w:val="ListParagraph"/>
              <w:numPr>
                <w:ilvl w:val="0"/>
                <w:numId w:val="3"/>
              </w:numPr>
              <w:spacing w:before="120"/>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Supports providers when issues arise.</w:t>
            </w:r>
          </w:p>
          <w:p w14:paraId="5C9E9760" w14:textId="77777777" w:rsidR="00E83FB5" w:rsidRPr="00BF273A" w:rsidRDefault="00E83FB5" w:rsidP="00E83FB5">
            <w:pPr>
              <w:pStyle w:val="ListParagraph"/>
              <w:numPr>
                <w:ilvl w:val="0"/>
                <w:numId w:val="3"/>
              </w:numPr>
              <w:spacing w:before="120"/>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Updates MSD on new provider supply.</w:t>
            </w:r>
          </w:p>
          <w:p w14:paraId="4CC86AFE" w14:textId="77777777" w:rsidR="0054074F" w:rsidRDefault="00E83FB5" w:rsidP="00E83FB5">
            <w:pPr>
              <w:pStyle w:val="ListParagraph"/>
              <w:numPr>
                <w:ilvl w:val="0"/>
                <w:numId w:val="3"/>
              </w:numPr>
              <w:spacing w:before="120"/>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BF273A">
              <w:rPr>
                <w:rFonts w:eastAsia="Times New Roman"/>
                <w:szCs w:val="24"/>
              </w:rPr>
              <w:t xml:space="preserve">Matches transitional housing supply to providers. </w:t>
            </w:r>
          </w:p>
          <w:p w14:paraId="359D46CC" w14:textId="6DE6DD65" w:rsidR="00E83FB5" w:rsidRPr="0054074F" w:rsidRDefault="00E83FB5" w:rsidP="00E83FB5">
            <w:pPr>
              <w:pStyle w:val="ListParagraph"/>
              <w:numPr>
                <w:ilvl w:val="0"/>
                <w:numId w:val="3"/>
              </w:numPr>
              <w:spacing w:before="120"/>
              <w:contextualSpacing w:val="0"/>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4074F">
              <w:rPr>
                <w:rFonts w:eastAsia="Times New Roman"/>
              </w:rPr>
              <w:t>Funds motels and manages motel contracts.</w:t>
            </w:r>
          </w:p>
        </w:tc>
        <w:tc>
          <w:tcPr>
            <w:tcW w:w="3006" w:type="dxa"/>
          </w:tcPr>
          <w:p w14:paraId="16BD82BD" w14:textId="77777777" w:rsidR="00BF273A" w:rsidRDefault="00E83FB5" w:rsidP="00BF273A">
            <w:pPr>
              <w:pStyle w:val="HUDBullets"/>
              <w:cnfStyle w:val="000000000000" w:firstRow="0" w:lastRow="0" w:firstColumn="0" w:lastColumn="0" w:oddVBand="0" w:evenVBand="0" w:oddHBand="0" w:evenHBand="0" w:firstRowFirstColumn="0" w:firstRowLastColumn="0" w:lastRowFirstColumn="0" w:lastRowLastColumn="0"/>
            </w:pPr>
            <w:r w:rsidRPr="00BF273A">
              <w:t>Sources transitional housing supply opportunities for providers</w:t>
            </w:r>
          </w:p>
          <w:p w14:paraId="6DB1CE1B" w14:textId="26BF5F73" w:rsidR="00E83FB5" w:rsidRPr="00BF273A" w:rsidRDefault="00E83FB5" w:rsidP="00BF273A">
            <w:pPr>
              <w:pStyle w:val="HUDBullets"/>
              <w:cnfStyle w:val="000000000000" w:firstRow="0" w:lastRow="0" w:firstColumn="0" w:lastColumn="0" w:oddVBand="0" w:evenVBand="0" w:oddHBand="0" w:evenHBand="0" w:firstRowFirstColumn="0" w:firstRowLastColumn="0" w:lastRowFirstColumn="0" w:lastRowLastColumn="0"/>
            </w:pPr>
            <w:r w:rsidRPr="00BF273A">
              <w:rPr>
                <w:rFonts w:cs="Arial"/>
              </w:rPr>
              <w:t>Kāinga Ora do not provide transitional housing support services.</w:t>
            </w:r>
          </w:p>
        </w:tc>
      </w:tr>
    </w:tbl>
    <w:p w14:paraId="348E36C1" w14:textId="0AFE1C36" w:rsidR="00BF273A" w:rsidRDefault="00BF273A" w:rsidP="00E83FB5">
      <w:pPr>
        <w:pStyle w:val="HUDBody"/>
        <w:rPr>
          <w:rFonts w:cs="Arial"/>
        </w:rPr>
      </w:pPr>
    </w:p>
    <w:p w14:paraId="518CEE67" w14:textId="77777777" w:rsidR="00BF273A" w:rsidRDefault="00BF273A">
      <w:pPr>
        <w:spacing w:after="160" w:line="278" w:lineRule="auto"/>
        <w:rPr>
          <w:rFonts w:cs="Arial"/>
          <w:szCs w:val="24"/>
        </w:rPr>
      </w:pPr>
      <w:r>
        <w:rPr>
          <w:rFonts w:cs="Arial"/>
        </w:rPr>
        <w:br w:type="page"/>
      </w:r>
    </w:p>
    <w:p w14:paraId="523C2B27" w14:textId="3187DF8B" w:rsidR="00E83FB5" w:rsidRDefault="00E83FB5" w:rsidP="00E83FB5">
      <w:pPr>
        <w:pStyle w:val="HUDHeading1"/>
      </w:pPr>
      <w:bookmarkStart w:id="4" w:name="_Toc208995891"/>
      <w:r>
        <w:lastRenderedPageBreak/>
        <w:t>3.0 Providing a transitional housing service</w:t>
      </w:r>
      <w:bookmarkEnd w:id="4"/>
    </w:p>
    <w:p w14:paraId="08A0B742" w14:textId="41F2B603" w:rsidR="00E83FB5" w:rsidRDefault="00E83FB5" w:rsidP="00E83FB5">
      <w:pPr>
        <w:pStyle w:val="HUDHeading2"/>
      </w:pPr>
      <w:bookmarkStart w:id="5" w:name="_Toc208995892"/>
      <w:r>
        <w:t>3.1 Properties and places</w:t>
      </w:r>
      <w:bookmarkEnd w:id="5"/>
    </w:p>
    <w:p w14:paraId="04716E29" w14:textId="4FEFC857" w:rsidR="00E83FB5" w:rsidRPr="00E83FB5" w:rsidRDefault="00E83FB5" w:rsidP="00E83FB5">
      <w:pPr>
        <w:pStyle w:val="HUDBody"/>
        <w:rPr>
          <w:rFonts w:cs="Arial"/>
        </w:rPr>
      </w:pPr>
      <w:r w:rsidRPr="00E83FB5">
        <w:rPr>
          <w:rFonts w:cs="Arial"/>
        </w:rPr>
        <w:t xml:space="preserve">All properties must receive </w:t>
      </w:r>
      <w:r w:rsidR="0063239D">
        <w:rPr>
          <w:rFonts w:cs="Arial"/>
        </w:rPr>
        <w:t xml:space="preserve">our </w:t>
      </w:r>
      <w:r w:rsidRPr="00E83FB5">
        <w:rPr>
          <w:rFonts w:cs="Arial"/>
        </w:rPr>
        <w:t xml:space="preserve">approval before they can be used as transitional housing. This approval requirement applies to all property types, including newly built properties, renovated properties and properties transferred from other services or providers. No property </w:t>
      </w:r>
      <w:r w:rsidR="00BF273A">
        <w:rPr>
          <w:rFonts w:cs="Arial"/>
        </w:rPr>
        <w:t>can</w:t>
      </w:r>
      <w:r w:rsidR="00BF273A" w:rsidRPr="00E83FB5">
        <w:rPr>
          <w:rFonts w:cs="Arial"/>
        </w:rPr>
        <w:t xml:space="preserve"> </w:t>
      </w:r>
      <w:r w:rsidRPr="00E83FB5">
        <w:rPr>
          <w:rFonts w:cs="Arial"/>
        </w:rPr>
        <w:t xml:space="preserve">be included in your </w:t>
      </w:r>
      <w:r w:rsidR="00BF273A">
        <w:rPr>
          <w:rFonts w:cs="Arial"/>
        </w:rPr>
        <w:t>s</w:t>
      </w:r>
      <w:r w:rsidRPr="00E83FB5">
        <w:rPr>
          <w:rFonts w:cs="Arial"/>
        </w:rPr>
        <w:t xml:space="preserve">ervice or used to house clients until </w:t>
      </w:r>
      <w:r w:rsidR="00BF273A">
        <w:rPr>
          <w:rFonts w:cs="Arial"/>
        </w:rPr>
        <w:t>we</w:t>
      </w:r>
      <w:r w:rsidR="00BF273A" w:rsidRPr="00E83FB5">
        <w:rPr>
          <w:rFonts w:cs="Arial"/>
        </w:rPr>
        <w:t xml:space="preserve"> </w:t>
      </w:r>
      <w:r w:rsidRPr="00E83FB5">
        <w:rPr>
          <w:rFonts w:cs="Arial"/>
        </w:rPr>
        <w:t>ha</w:t>
      </w:r>
      <w:r w:rsidR="00BF273A">
        <w:rPr>
          <w:rFonts w:cs="Arial"/>
        </w:rPr>
        <w:t>ve</w:t>
      </w:r>
      <w:r w:rsidRPr="00E83FB5">
        <w:rPr>
          <w:rFonts w:cs="Arial"/>
        </w:rPr>
        <w:t xml:space="preserve"> completed </w:t>
      </w:r>
      <w:r w:rsidR="00BF273A">
        <w:rPr>
          <w:rFonts w:cs="Arial"/>
        </w:rPr>
        <w:t>our</w:t>
      </w:r>
      <w:r w:rsidR="00BF273A" w:rsidRPr="00E83FB5">
        <w:rPr>
          <w:rFonts w:cs="Arial"/>
        </w:rPr>
        <w:t xml:space="preserve"> </w:t>
      </w:r>
      <w:r w:rsidRPr="00E83FB5">
        <w:rPr>
          <w:rFonts w:cs="Arial"/>
        </w:rPr>
        <w:t>assessment and granted formal approval.</w:t>
      </w:r>
    </w:p>
    <w:p w14:paraId="0E9BCB14" w14:textId="77777777" w:rsidR="00E83FB5" w:rsidRPr="00E83FB5" w:rsidRDefault="00E83FB5" w:rsidP="00DB73CD">
      <w:pPr>
        <w:pStyle w:val="HUDHeading3"/>
      </w:pPr>
      <w:bookmarkStart w:id="6" w:name="_Toc208995893"/>
      <w:r w:rsidRPr="00E83FB5">
        <w:t>Substituting properties</w:t>
      </w:r>
      <w:bookmarkEnd w:id="6"/>
    </w:p>
    <w:p w14:paraId="09CA69E1" w14:textId="4FE0C688" w:rsidR="00E83FB5" w:rsidRPr="00E83FB5" w:rsidRDefault="00E83FB5" w:rsidP="00E83FB5">
      <w:pPr>
        <w:pStyle w:val="HUDBody"/>
        <w:rPr>
          <w:rFonts w:cs="Arial"/>
        </w:rPr>
      </w:pPr>
      <w:r w:rsidRPr="00E83FB5">
        <w:rPr>
          <w:rFonts w:cs="Arial"/>
        </w:rPr>
        <w:t xml:space="preserve">You </w:t>
      </w:r>
      <w:r w:rsidR="001025AA">
        <w:rPr>
          <w:rFonts w:cs="Arial"/>
        </w:rPr>
        <w:t>can</w:t>
      </w:r>
      <w:r w:rsidRPr="00E83FB5">
        <w:rPr>
          <w:rFonts w:cs="Arial"/>
        </w:rPr>
        <w:t xml:space="preserve"> substitute other properties in your portfolio for use as transitional housing accommodation subject to </w:t>
      </w:r>
      <w:r w:rsidR="001025AA">
        <w:rPr>
          <w:rFonts w:cs="Arial"/>
        </w:rPr>
        <w:t xml:space="preserve">our </w:t>
      </w:r>
      <w:r w:rsidRPr="00E83FB5">
        <w:rPr>
          <w:rFonts w:cs="Arial"/>
        </w:rPr>
        <w:t>approval.</w:t>
      </w:r>
      <w:r w:rsidR="001025AA">
        <w:rPr>
          <w:rStyle w:val="FootnoteReference"/>
          <w:rFonts w:cs="Arial"/>
        </w:rPr>
        <w:footnoteReference w:id="1"/>
      </w:r>
    </w:p>
    <w:p w14:paraId="354C8547" w14:textId="59AB49D2" w:rsidR="00E83FB5" w:rsidRPr="00E83FB5" w:rsidRDefault="00E222A6" w:rsidP="00E83FB5">
      <w:pPr>
        <w:pStyle w:val="HUDBody"/>
        <w:rPr>
          <w:rFonts w:cs="Arial"/>
        </w:rPr>
      </w:pPr>
      <w:r>
        <w:rPr>
          <w:rFonts w:cs="Arial"/>
        </w:rPr>
        <w:t>We must approve c</w:t>
      </w:r>
      <w:r w:rsidR="00E83FB5" w:rsidRPr="00E83FB5">
        <w:rPr>
          <w:rFonts w:cs="Arial"/>
        </w:rPr>
        <w:t xml:space="preserve">hanges to properties before </w:t>
      </w:r>
      <w:r>
        <w:rPr>
          <w:rFonts w:cs="Arial"/>
        </w:rPr>
        <w:t>they’re</w:t>
      </w:r>
      <w:r w:rsidRPr="00E83FB5">
        <w:rPr>
          <w:rFonts w:cs="Arial"/>
        </w:rPr>
        <w:t xml:space="preserve"> </w:t>
      </w:r>
      <w:r w:rsidR="00E83FB5" w:rsidRPr="00E83FB5">
        <w:rPr>
          <w:rFonts w:cs="Arial"/>
        </w:rPr>
        <w:t xml:space="preserve">included in the </w:t>
      </w:r>
      <w:r w:rsidR="001025AA">
        <w:rPr>
          <w:rFonts w:cs="Arial"/>
        </w:rPr>
        <w:t>t</w:t>
      </w:r>
      <w:r w:rsidR="00E83FB5" w:rsidRPr="00E83FB5">
        <w:rPr>
          <w:rFonts w:cs="Arial"/>
        </w:rPr>
        <w:t xml:space="preserve">ransitional </w:t>
      </w:r>
      <w:r w:rsidR="001025AA">
        <w:rPr>
          <w:rFonts w:cs="Arial"/>
        </w:rPr>
        <w:t>h</w:t>
      </w:r>
      <w:r w:rsidR="00E83FB5" w:rsidRPr="00E83FB5">
        <w:rPr>
          <w:rFonts w:cs="Arial"/>
        </w:rPr>
        <w:t xml:space="preserve">ousing </w:t>
      </w:r>
      <w:r w:rsidR="001025AA">
        <w:rPr>
          <w:rFonts w:cs="Arial"/>
        </w:rPr>
        <w:t>r</w:t>
      </w:r>
      <w:r w:rsidR="00E83FB5" w:rsidRPr="00E83FB5">
        <w:rPr>
          <w:rFonts w:cs="Arial"/>
        </w:rPr>
        <w:t xml:space="preserve">ecord. Property substitution is at </w:t>
      </w:r>
      <w:r w:rsidR="001025AA">
        <w:rPr>
          <w:rFonts w:cs="Arial"/>
        </w:rPr>
        <w:t>our</w:t>
      </w:r>
      <w:r w:rsidR="001025AA" w:rsidRPr="00E83FB5">
        <w:rPr>
          <w:rFonts w:cs="Arial"/>
        </w:rPr>
        <w:t xml:space="preserve"> </w:t>
      </w:r>
      <w:r w:rsidR="00E83FB5" w:rsidRPr="00E83FB5">
        <w:rPr>
          <w:rFonts w:cs="Arial"/>
        </w:rPr>
        <w:t xml:space="preserve">discretion and is not an automatic right. If a property is removed from your service, </w:t>
      </w:r>
      <w:r w:rsidR="001025AA">
        <w:rPr>
          <w:rFonts w:cs="Arial"/>
        </w:rPr>
        <w:t>we</w:t>
      </w:r>
      <w:r w:rsidR="001025AA" w:rsidRPr="00E83FB5">
        <w:rPr>
          <w:rFonts w:cs="Arial"/>
        </w:rPr>
        <w:t xml:space="preserve"> </w:t>
      </w:r>
      <w:r w:rsidR="00E83FB5" w:rsidRPr="00E83FB5">
        <w:rPr>
          <w:rFonts w:cs="Arial"/>
        </w:rPr>
        <w:t>will determine whether it will be replaced, based on current needs and priorities.</w:t>
      </w:r>
    </w:p>
    <w:p w14:paraId="53A1B288" w14:textId="01E692B8" w:rsidR="00E83FB5" w:rsidRPr="00E83FB5" w:rsidRDefault="001025AA" w:rsidP="00E83FB5">
      <w:pPr>
        <w:pStyle w:val="HUDBody"/>
        <w:rPr>
          <w:rFonts w:cs="Arial"/>
        </w:rPr>
      </w:pPr>
      <w:r>
        <w:rPr>
          <w:rFonts w:cs="Arial"/>
        </w:rPr>
        <w:t>T</w:t>
      </w:r>
      <w:r w:rsidR="00E83FB5" w:rsidRPr="00E83FB5">
        <w:rPr>
          <w:rFonts w:cs="Arial"/>
        </w:rPr>
        <w:t>o request a property substitution, consult with your Senior Advisor</w:t>
      </w:r>
      <w:r>
        <w:rPr>
          <w:rFonts w:cs="Arial"/>
        </w:rPr>
        <w:t xml:space="preserve"> at Te Tūāpapa Kura Kāinga</w:t>
      </w:r>
      <w:r w:rsidR="00E83FB5" w:rsidRPr="00E83FB5">
        <w:rPr>
          <w:rFonts w:cs="Arial"/>
        </w:rPr>
        <w:t>. Any proposed replacement property must:</w:t>
      </w:r>
    </w:p>
    <w:p w14:paraId="7D4AFF04" w14:textId="47D620A7" w:rsidR="00E83FB5" w:rsidRPr="005E21D3" w:rsidRDefault="00E83FB5" w:rsidP="005E21D3">
      <w:pPr>
        <w:pStyle w:val="HUDBullets"/>
      </w:pPr>
      <w:r w:rsidRPr="005E21D3">
        <w:t>be in a similar location</w:t>
      </w:r>
    </w:p>
    <w:p w14:paraId="41264712" w14:textId="5B443D7A" w:rsidR="00E83FB5" w:rsidRPr="005E21D3" w:rsidRDefault="005E21D3" w:rsidP="005E21D3">
      <w:pPr>
        <w:pStyle w:val="HUDBullets"/>
      </w:pPr>
      <w:r w:rsidRPr="005E21D3">
        <w:t>b</w:t>
      </w:r>
      <w:r w:rsidR="00E83FB5" w:rsidRPr="005E21D3">
        <w:t>e healthy homes compliant</w:t>
      </w:r>
    </w:p>
    <w:p w14:paraId="748158E0" w14:textId="412239C7" w:rsidR="00E83FB5" w:rsidRPr="005E21D3" w:rsidRDefault="005E21D3" w:rsidP="005E21D3">
      <w:pPr>
        <w:pStyle w:val="HUDBullets"/>
      </w:pPr>
      <w:r w:rsidRPr="005E21D3">
        <w:t>m</w:t>
      </w:r>
      <w:r w:rsidR="00E83FB5" w:rsidRPr="005E21D3">
        <w:t>eet fire safety requirements and building compliance</w:t>
      </w:r>
    </w:p>
    <w:p w14:paraId="213B7353" w14:textId="1B24921E" w:rsidR="00E83FB5" w:rsidRPr="005E21D3" w:rsidRDefault="00E83FB5" w:rsidP="005E21D3">
      <w:pPr>
        <w:pStyle w:val="HUDBullets"/>
      </w:pPr>
      <w:r w:rsidRPr="005E21D3">
        <w:t xml:space="preserve">comply with your </w:t>
      </w:r>
      <w:r w:rsidR="001025AA">
        <w:t>s</w:t>
      </w:r>
      <w:r w:rsidRPr="005E21D3">
        <w:t xml:space="preserve">ervices </w:t>
      </w:r>
      <w:r w:rsidR="001025AA">
        <w:t>a</w:t>
      </w:r>
      <w:r w:rsidRPr="005E21D3">
        <w:t>greement.</w:t>
      </w:r>
    </w:p>
    <w:p w14:paraId="00C40B00" w14:textId="77777777" w:rsidR="00E83FB5" w:rsidRPr="00E83FB5" w:rsidRDefault="00E83FB5" w:rsidP="00DB73CD">
      <w:pPr>
        <w:pStyle w:val="HUDHeading3"/>
      </w:pPr>
      <w:bookmarkStart w:id="7" w:name="_Toc208995894"/>
      <w:r w:rsidRPr="00E83FB5">
        <w:t>Changes to a property’s market rent</w:t>
      </w:r>
      <w:bookmarkEnd w:id="7"/>
    </w:p>
    <w:p w14:paraId="7BE6BC4A" w14:textId="650650D1" w:rsidR="00E83FB5" w:rsidRPr="00E83FB5" w:rsidRDefault="00E83FB5" w:rsidP="00E83FB5">
      <w:pPr>
        <w:pStyle w:val="HUDBody"/>
        <w:rPr>
          <w:rFonts w:cs="Arial"/>
        </w:rPr>
      </w:pPr>
      <w:r w:rsidRPr="00E83FB5">
        <w:rPr>
          <w:rFonts w:cs="Arial"/>
        </w:rPr>
        <w:t xml:space="preserve">Your leases must be commercial leases (because as a </w:t>
      </w:r>
      <w:r w:rsidR="001025AA">
        <w:rPr>
          <w:rFonts w:cs="Arial"/>
        </w:rPr>
        <w:t>p</w:t>
      </w:r>
      <w:r w:rsidRPr="00E83FB5">
        <w:rPr>
          <w:rFonts w:cs="Arial"/>
        </w:rPr>
        <w:t>rovider you are not eligible to use a Residential Tenancies Act (RTA) lease) and must be organised so that property owners can only increase rent:</w:t>
      </w:r>
    </w:p>
    <w:p w14:paraId="473D8CB8" w14:textId="393B4F1C" w:rsidR="005E21D3" w:rsidRDefault="003F3E36" w:rsidP="00E83FB5">
      <w:pPr>
        <w:pStyle w:val="HUDBullets"/>
      </w:pPr>
      <w:r>
        <w:t>twelve</w:t>
      </w:r>
      <w:r w:rsidRPr="00E83FB5">
        <w:t xml:space="preserve"> </w:t>
      </w:r>
      <w:r w:rsidR="00E83FB5" w:rsidRPr="00E83FB5">
        <w:t>months after the lease start date</w:t>
      </w:r>
    </w:p>
    <w:p w14:paraId="68C8FBF4" w14:textId="3356C41B" w:rsidR="00E83FB5" w:rsidRPr="005E21D3" w:rsidRDefault="003F3E36" w:rsidP="00E83FB5">
      <w:pPr>
        <w:pStyle w:val="HUDBullets"/>
      </w:pPr>
      <w:r>
        <w:rPr>
          <w:rFonts w:cs="Arial"/>
        </w:rPr>
        <w:t>twelve</w:t>
      </w:r>
      <w:r w:rsidRPr="005E21D3">
        <w:rPr>
          <w:rFonts w:cs="Arial"/>
        </w:rPr>
        <w:t xml:space="preserve"> </w:t>
      </w:r>
      <w:r w:rsidR="00E83FB5" w:rsidRPr="005E21D3">
        <w:rPr>
          <w:rFonts w:cs="Arial"/>
        </w:rPr>
        <w:t>months from when the last increase took effect.</w:t>
      </w:r>
    </w:p>
    <w:p w14:paraId="01769E81" w14:textId="0CE6DDCC" w:rsidR="00E83FB5" w:rsidRPr="00E83FB5" w:rsidRDefault="00E83FB5" w:rsidP="00E83FB5">
      <w:pPr>
        <w:pStyle w:val="HUDBody"/>
        <w:rPr>
          <w:rFonts w:cs="Arial"/>
        </w:rPr>
      </w:pPr>
      <w:r w:rsidRPr="00E83FB5">
        <w:rPr>
          <w:rFonts w:cs="Arial"/>
        </w:rPr>
        <w:t xml:space="preserve">When property owners </w:t>
      </w:r>
      <w:r w:rsidR="003F3E36">
        <w:rPr>
          <w:rFonts w:cs="Arial"/>
        </w:rPr>
        <w:t>want</w:t>
      </w:r>
      <w:r w:rsidR="003F3E36" w:rsidRPr="00E83FB5">
        <w:rPr>
          <w:rFonts w:cs="Arial"/>
        </w:rPr>
        <w:t xml:space="preserve"> </w:t>
      </w:r>
      <w:r w:rsidRPr="00E83FB5">
        <w:rPr>
          <w:rFonts w:cs="Arial"/>
        </w:rPr>
        <w:t>to increase rents, providers must submit a request for a corresponding transitional housing subsidy increase. Th</w:t>
      </w:r>
      <w:r w:rsidR="003F3E36">
        <w:rPr>
          <w:rFonts w:cs="Arial"/>
        </w:rPr>
        <w:t>e</w:t>
      </w:r>
      <w:r w:rsidRPr="00E83FB5">
        <w:rPr>
          <w:rFonts w:cs="Arial"/>
        </w:rPr>
        <w:t xml:space="preserve"> request must:</w:t>
      </w:r>
    </w:p>
    <w:p w14:paraId="283A27EB" w14:textId="6B24C46B" w:rsidR="005E21D3" w:rsidRDefault="001025AA" w:rsidP="00E83FB5">
      <w:pPr>
        <w:pStyle w:val="HUDBullets"/>
      </w:pPr>
      <w:r>
        <w:t>b</w:t>
      </w:r>
      <w:r w:rsidR="00E83FB5" w:rsidRPr="00E83FB5">
        <w:t xml:space="preserve">e submitted in writing to your Senior Advisor </w:t>
      </w:r>
      <w:r>
        <w:t xml:space="preserve">at Te Tūāpapa Kura Kāinga </w:t>
      </w:r>
      <w:r w:rsidR="00E83FB5" w:rsidRPr="00E83FB5">
        <w:t>at least 60 days before the proposed increase date</w:t>
      </w:r>
    </w:p>
    <w:p w14:paraId="6B78E035" w14:textId="41A9B480" w:rsidR="005E21D3" w:rsidRPr="005E21D3" w:rsidRDefault="001025AA" w:rsidP="00E83FB5">
      <w:pPr>
        <w:pStyle w:val="HUDBullets"/>
      </w:pPr>
      <w:r>
        <w:rPr>
          <w:rFonts w:cs="Arial"/>
        </w:rPr>
        <w:t>c</w:t>
      </w:r>
      <w:r w:rsidR="00E83FB5" w:rsidRPr="005E21D3">
        <w:rPr>
          <w:rFonts w:cs="Arial"/>
        </w:rPr>
        <w:t>learly state the requested transitional housing subsidy amount</w:t>
      </w:r>
    </w:p>
    <w:p w14:paraId="6A29CC45" w14:textId="57EFFB3B" w:rsidR="005E21D3" w:rsidRPr="005E21D3" w:rsidRDefault="001025AA" w:rsidP="00E83FB5">
      <w:pPr>
        <w:pStyle w:val="HUDBullets"/>
      </w:pPr>
      <w:r>
        <w:rPr>
          <w:rFonts w:cs="Arial"/>
        </w:rPr>
        <w:lastRenderedPageBreak/>
        <w:t>s</w:t>
      </w:r>
      <w:r w:rsidR="00E83FB5" w:rsidRPr="005E21D3">
        <w:rPr>
          <w:rFonts w:cs="Arial"/>
        </w:rPr>
        <w:t>pecify the effective date of the proposed increase</w:t>
      </w:r>
    </w:p>
    <w:p w14:paraId="3C98430D" w14:textId="2C85DA94" w:rsidR="00E83FB5" w:rsidRPr="005E21D3" w:rsidRDefault="001025AA" w:rsidP="00E83FB5">
      <w:pPr>
        <w:pStyle w:val="HUDBullets"/>
      </w:pPr>
      <w:r>
        <w:rPr>
          <w:rFonts w:cs="Arial"/>
        </w:rPr>
        <w:t>i</w:t>
      </w:r>
      <w:r w:rsidR="00E83FB5" w:rsidRPr="005E21D3">
        <w:rPr>
          <w:rFonts w:cs="Arial"/>
        </w:rPr>
        <w:t>nclude justification for the increase (being the property owner request and a market rent valuation).</w:t>
      </w:r>
    </w:p>
    <w:p w14:paraId="7CA63802" w14:textId="730B7D8E" w:rsidR="00E83FB5" w:rsidRDefault="00E83FB5" w:rsidP="00E83FB5">
      <w:pPr>
        <w:pStyle w:val="HUDBody"/>
        <w:rPr>
          <w:rFonts w:cs="Arial"/>
        </w:rPr>
      </w:pPr>
      <w:r w:rsidRPr="00E83FB5">
        <w:rPr>
          <w:rFonts w:cs="Arial"/>
        </w:rPr>
        <w:t xml:space="preserve">All rent increases require </w:t>
      </w:r>
      <w:r w:rsidR="001025AA">
        <w:rPr>
          <w:rFonts w:cs="Arial"/>
        </w:rPr>
        <w:t>our</w:t>
      </w:r>
      <w:r w:rsidR="001025AA" w:rsidRPr="00E83FB5">
        <w:rPr>
          <w:rFonts w:cs="Arial"/>
        </w:rPr>
        <w:t xml:space="preserve"> </w:t>
      </w:r>
      <w:r w:rsidRPr="00E83FB5">
        <w:rPr>
          <w:rFonts w:cs="Arial"/>
        </w:rPr>
        <w:t xml:space="preserve">review and are subject to </w:t>
      </w:r>
      <w:r w:rsidR="001025AA">
        <w:rPr>
          <w:rFonts w:cs="Arial"/>
        </w:rPr>
        <w:t>our</w:t>
      </w:r>
      <w:r w:rsidR="001025AA" w:rsidRPr="00E83FB5">
        <w:rPr>
          <w:rFonts w:cs="Arial"/>
        </w:rPr>
        <w:t xml:space="preserve"> </w:t>
      </w:r>
      <w:r w:rsidRPr="00E83FB5">
        <w:rPr>
          <w:rFonts w:cs="Arial"/>
        </w:rPr>
        <w:t xml:space="preserve">discretion to approve or decline before taking effect. You will be notified of </w:t>
      </w:r>
      <w:r w:rsidR="001025AA">
        <w:rPr>
          <w:rFonts w:cs="Arial"/>
        </w:rPr>
        <w:t>our</w:t>
      </w:r>
      <w:r w:rsidR="001025AA" w:rsidRPr="00E83FB5">
        <w:rPr>
          <w:rFonts w:cs="Arial"/>
        </w:rPr>
        <w:t xml:space="preserve"> </w:t>
      </w:r>
      <w:r w:rsidRPr="00E83FB5">
        <w:rPr>
          <w:rFonts w:cs="Arial"/>
        </w:rPr>
        <w:t>decision following review of your request.</w:t>
      </w:r>
    </w:p>
    <w:p w14:paraId="599EA938" w14:textId="437C8D6A" w:rsidR="00E83FB5" w:rsidRDefault="00E83FB5" w:rsidP="00E83FB5">
      <w:pPr>
        <w:pStyle w:val="HUDHeading2"/>
      </w:pPr>
      <w:bookmarkStart w:id="8" w:name="_Toc208995895"/>
      <w:r>
        <w:t>3.2 Vacancies and the temporary housing vacancy management tool</w:t>
      </w:r>
      <w:bookmarkEnd w:id="8"/>
    </w:p>
    <w:p w14:paraId="06C96FAC" w14:textId="1D85F805" w:rsidR="00E83FB5" w:rsidRPr="00E83FB5" w:rsidRDefault="00E83FB5" w:rsidP="00E83FB5">
      <w:pPr>
        <w:pStyle w:val="HUDBody"/>
        <w:rPr>
          <w:rFonts w:cs="Arial"/>
        </w:rPr>
      </w:pPr>
      <w:r w:rsidRPr="00E83FB5">
        <w:rPr>
          <w:rFonts w:cs="Arial"/>
        </w:rPr>
        <w:t xml:space="preserve">Information about all approved transitional housing properties, including whether they are currently vacant, out of use or occupied must be recorded in the </w:t>
      </w:r>
      <w:r w:rsidR="001025AA">
        <w:rPr>
          <w:rFonts w:cs="Arial"/>
        </w:rPr>
        <w:t>t</w:t>
      </w:r>
      <w:r w:rsidRPr="00E83FB5">
        <w:rPr>
          <w:rFonts w:cs="Arial"/>
        </w:rPr>
        <w:t xml:space="preserve">emporary </w:t>
      </w:r>
      <w:r w:rsidR="001025AA">
        <w:rPr>
          <w:rFonts w:cs="Arial"/>
        </w:rPr>
        <w:t>h</w:t>
      </w:r>
      <w:r w:rsidRPr="00E83FB5">
        <w:rPr>
          <w:rFonts w:cs="Arial"/>
        </w:rPr>
        <w:t xml:space="preserve">ousing </w:t>
      </w:r>
      <w:r w:rsidR="001025AA">
        <w:rPr>
          <w:rFonts w:cs="Arial"/>
        </w:rPr>
        <w:t>v</w:t>
      </w:r>
      <w:r w:rsidRPr="00E83FB5">
        <w:rPr>
          <w:rFonts w:cs="Arial"/>
        </w:rPr>
        <w:t xml:space="preserve">acancy </w:t>
      </w:r>
      <w:r w:rsidR="001025AA">
        <w:rPr>
          <w:rFonts w:cs="Arial"/>
        </w:rPr>
        <w:t>m</w:t>
      </w:r>
      <w:r w:rsidRPr="00E83FB5">
        <w:rPr>
          <w:rFonts w:cs="Arial"/>
        </w:rPr>
        <w:t>anagement tool (THVM).</w:t>
      </w:r>
    </w:p>
    <w:p w14:paraId="611A4ACD" w14:textId="13ABBE07" w:rsidR="003F3E36" w:rsidRDefault="001025AA" w:rsidP="00E83FB5">
      <w:pPr>
        <w:pStyle w:val="HUDBody"/>
        <w:rPr>
          <w:rFonts w:cs="Arial"/>
        </w:rPr>
      </w:pPr>
      <w:r>
        <w:rPr>
          <w:rFonts w:cs="Arial"/>
        </w:rPr>
        <w:t xml:space="preserve">The </w:t>
      </w:r>
      <w:r w:rsidR="00E83FB5" w:rsidRPr="00E83FB5">
        <w:rPr>
          <w:rFonts w:cs="Arial"/>
        </w:rPr>
        <w:t xml:space="preserve">THVM is used by MSD to </w:t>
      </w:r>
      <w:r w:rsidR="003F3E36">
        <w:rPr>
          <w:rFonts w:cs="Arial"/>
        </w:rPr>
        <w:t>see</w:t>
      </w:r>
      <w:r w:rsidR="003F3E36" w:rsidRPr="00E83FB5">
        <w:rPr>
          <w:rFonts w:cs="Arial"/>
        </w:rPr>
        <w:t xml:space="preserve"> </w:t>
      </w:r>
      <w:r w:rsidR="00E83FB5" w:rsidRPr="00E83FB5">
        <w:rPr>
          <w:rFonts w:cs="Arial"/>
        </w:rPr>
        <w:t xml:space="preserve">if a suitable vacant place </w:t>
      </w:r>
      <w:r w:rsidR="003F3E36">
        <w:rPr>
          <w:rFonts w:cs="Arial"/>
        </w:rPr>
        <w:t xml:space="preserve">is available </w:t>
      </w:r>
      <w:r w:rsidR="00E83FB5" w:rsidRPr="00E83FB5">
        <w:rPr>
          <w:rFonts w:cs="Arial"/>
        </w:rPr>
        <w:t xml:space="preserve">to </w:t>
      </w:r>
      <w:r>
        <w:rPr>
          <w:rFonts w:cs="Arial"/>
        </w:rPr>
        <w:t xml:space="preserve">refer </w:t>
      </w:r>
      <w:r w:rsidR="00E83FB5" w:rsidRPr="00E83FB5">
        <w:rPr>
          <w:rFonts w:cs="Arial"/>
        </w:rPr>
        <w:t xml:space="preserve">a household. Support MSD by updating </w:t>
      </w:r>
      <w:r>
        <w:rPr>
          <w:rFonts w:cs="Arial"/>
        </w:rPr>
        <w:t xml:space="preserve">the </w:t>
      </w:r>
      <w:r w:rsidR="00E83FB5" w:rsidRPr="00E83FB5">
        <w:rPr>
          <w:rFonts w:cs="Arial"/>
        </w:rPr>
        <w:t xml:space="preserve">THVM as soon as possible. </w:t>
      </w:r>
    </w:p>
    <w:p w14:paraId="399AEB28" w14:textId="1E2F247F" w:rsidR="001025AA" w:rsidRDefault="00E83FB5" w:rsidP="00E83FB5">
      <w:pPr>
        <w:pStyle w:val="HUDBody"/>
        <w:rPr>
          <w:rFonts w:cs="Arial"/>
        </w:rPr>
      </w:pPr>
      <w:r w:rsidRPr="00E83FB5">
        <w:rPr>
          <w:rFonts w:cs="Arial"/>
        </w:rPr>
        <w:t xml:space="preserve">You must update </w:t>
      </w:r>
      <w:r w:rsidR="001025AA">
        <w:rPr>
          <w:rFonts w:cs="Arial"/>
        </w:rPr>
        <w:t xml:space="preserve">the </w:t>
      </w:r>
      <w:r w:rsidRPr="00E83FB5">
        <w:rPr>
          <w:rFonts w:cs="Arial"/>
        </w:rPr>
        <w:t>THVM directly when a place becomes vacant, out of use or occupied, or when the makeup of the property changes (</w:t>
      </w:r>
      <w:r w:rsidR="001025AA">
        <w:rPr>
          <w:rFonts w:cs="Arial"/>
        </w:rPr>
        <w:t>for example,</w:t>
      </w:r>
      <w:r w:rsidRPr="00E83FB5">
        <w:rPr>
          <w:rFonts w:cs="Arial"/>
        </w:rPr>
        <w:t xml:space="preserve"> additional beds)</w:t>
      </w:r>
      <w:r w:rsidR="001025AA">
        <w:rPr>
          <w:rFonts w:cs="Arial"/>
        </w:rPr>
        <w:t>. F</w:t>
      </w:r>
      <w:r w:rsidRPr="00E83FB5">
        <w:rPr>
          <w:rFonts w:cs="Arial"/>
        </w:rPr>
        <w:t xml:space="preserve">ollow the </w:t>
      </w:r>
      <w:r w:rsidR="001025AA" w:rsidRPr="003639BD">
        <w:t xml:space="preserve">THVM </w:t>
      </w:r>
      <w:r w:rsidR="001025AA">
        <w:rPr>
          <w:rFonts w:cs="Arial"/>
        </w:rPr>
        <w:t>p</w:t>
      </w:r>
      <w:r w:rsidR="001025AA" w:rsidRPr="003639BD">
        <w:t xml:space="preserve">rovider </w:t>
      </w:r>
      <w:r w:rsidR="001025AA">
        <w:rPr>
          <w:rFonts w:cs="Arial"/>
        </w:rPr>
        <w:t>u</w:t>
      </w:r>
      <w:r w:rsidR="001025AA" w:rsidRPr="003639BD">
        <w:t xml:space="preserve">ser </w:t>
      </w:r>
      <w:r w:rsidR="001025AA">
        <w:rPr>
          <w:rFonts w:cs="Arial"/>
        </w:rPr>
        <w:t>g</w:t>
      </w:r>
      <w:r w:rsidR="001025AA" w:rsidRPr="003639BD">
        <w:t>uide</w:t>
      </w:r>
      <w:r w:rsidRPr="00E83FB5">
        <w:rPr>
          <w:rFonts w:cs="Arial"/>
        </w:rPr>
        <w:t xml:space="preserve">.  </w:t>
      </w:r>
    </w:p>
    <w:p w14:paraId="1D687192" w14:textId="078D53D5" w:rsidR="001025AA" w:rsidRDefault="001025AA" w:rsidP="00E83FB5">
      <w:pPr>
        <w:pStyle w:val="HUDBody"/>
        <w:rPr>
          <w:rFonts w:cs="Arial"/>
        </w:rPr>
      </w:pPr>
      <w:hyperlink r:id="rId14" w:history="1">
        <w:r w:rsidRPr="001025AA">
          <w:rPr>
            <w:rStyle w:val="Hyperlink"/>
            <w:rFonts w:cs="Arial"/>
          </w:rPr>
          <w:t>TVHM provider user guide</w:t>
        </w:r>
      </w:hyperlink>
      <w:r>
        <w:rPr>
          <w:rFonts w:cs="Arial"/>
        </w:rPr>
        <w:t xml:space="preserve"> (3.98MB, pdf)</w:t>
      </w:r>
    </w:p>
    <w:p w14:paraId="78CDDC18" w14:textId="10E78866" w:rsidR="00E83FB5" w:rsidRPr="00E83FB5" w:rsidRDefault="00E83FB5" w:rsidP="00E83FB5">
      <w:pPr>
        <w:pStyle w:val="HUDBody"/>
        <w:rPr>
          <w:rFonts w:cs="Arial"/>
        </w:rPr>
      </w:pPr>
      <w:r w:rsidRPr="00E83FB5">
        <w:rPr>
          <w:rFonts w:cs="Arial"/>
        </w:rPr>
        <w:t xml:space="preserve">When new properties need to be added or renamed, complete and send the relevant MSD form to </w:t>
      </w:r>
      <w:hyperlink r:id="rId15" w:history="1">
        <w:r w:rsidRPr="0064100B">
          <w:rPr>
            <w:rStyle w:val="Hyperlink"/>
            <w:rFonts w:cs="Arial"/>
          </w:rPr>
          <w:t>TH_vacancy_management@msd.govt.nz</w:t>
        </w:r>
      </w:hyperlink>
      <w:r>
        <w:rPr>
          <w:rFonts w:cs="Arial"/>
        </w:rPr>
        <w:t>.</w:t>
      </w:r>
    </w:p>
    <w:p w14:paraId="0C8170EB" w14:textId="0A1573EA" w:rsidR="00E83FB5" w:rsidRPr="00E83FB5" w:rsidRDefault="00E83FB5" w:rsidP="00E83FB5">
      <w:pPr>
        <w:pStyle w:val="HUDBody"/>
        <w:rPr>
          <w:rFonts w:cs="Arial"/>
        </w:rPr>
      </w:pPr>
      <w:r w:rsidRPr="00E83FB5">
        <w:rPr>
          <w:rFonts w:cs="Arial"/>
        </w:rPr>
        <w:t xml:space="preserve">When entering information into </w:t>
      </w:r>
      <w:r w:rsidR="001025AA">
        <w:rPr>
          <w:rFonts w:cs="Arial"/>
        </w:rPr>
        <w:t xml:space="preserve">the </w:t>
      </w:r>
      <w:r w:rsidRPr="00E83FB5">
        <w:rPr>
          <w:rFonts w:cs="Arial"/>
        </w:rPr>
        <w:t xml:space="preserve">THVM, </w:t>
      </w:r>
      <w:r w:rsidR="001025AA">
        <w:rPr>
          <w:rFonts w:cs="Arial"/>
        </w:rPr>
        <w:t>for example</w:t>
      </w:r>
      <w:r w:rsidRPr="00E83FB5">
        <w:rPr>
          <w:rFonts w:cs="Arial"/>
        </w:rPr>
        <w:t>, a new THVM login, place change or other update, use the correct MSD form.</w:t>
      </w:r>
    </w:p>
    <w:p w14:paraId="5CD5A5EF" w14:textId="219796FA" w:rsidR="00E83FB5" w:rsidRPr="00E83FB5" w:rsidRDefault="00E83FB5" w:rsidP="00E83FB5">
      <w:pPr>
        <w:pStyle w:val="HUDBody"/>
        <w:rPr>
          <w:rFonts w:cs="Arial"/>
        </w:rPr>
      </w:pPr>
      <w:r w:rsidRPr="00E83FB5">
        <w:rPr>
          <w:rFonts w:cs="Arial"/>
        </w:rPr>
        <w:t xml:space="preserve">When your staff leave your organisation, please </w:t>
      </w:r>
      <w:r w:rsidR="001025AA">
        <w:rPr>
          <w:rFonts w:cs="Arial"/>
        </w:rPr>
        <w:t>cancel</w:t>
      </w:r>
      <w:r w:rsidR="001025AA" w:rsidRPr="00E83FB5">
        <w:rPr>
          <w:rFonts w:cs="Arial"/>
        </w:rPr>
        <w:t xml:space="preserve"> </w:t>
      </w:r>
      <w:r w:rsidRPr="00E83FB5">
        <w:rPr>
          <w:rFonts w:cs="Arial"/>
        </w:rPr>
        <w:t xml:space="preserve">their access to </w:t>
      </w:r>
      <w:r w:rsidR="001025AA">
        <w:rPr>
          <w:rFonts w:cs="Arial"/>
        </w:rPr>
        <w:t xml:space="preserve">the </w:t>
      </w:r>
      <w:r w:rsidRPr="00E83FB5">
        <w:rPr>
          <w:rFonts w:cs="Arial"/>
        </w:rPr>
        <w:t>THVM.</w:t>
      </w:r>
    </w:p>
    <w:p w14:paraId="29016DD0" w14:textId="4F87C4C5" w:rsidR="00E83FB5" w:rsidRDefault="00E83FB5" w:rsidP="00E83FB5">
      <w:pPr>
        <w:pStyle w:val="HUDBody"/>
        <w:rPr>
          <w:rFonts w:cs="Arial"/>
        </w:rPr>
      </w:pPr>
      <w:r w:rsidRPr="00E83FB5">
        <w:rPr>
          <w:rFonts w:cs="Arial"/>
        </w:rPr>
        <w:t>Any THVM issues (as outlined above in this section) which require human interaction with MSD (</w:t>
      </w:r>
      <w:r w:rsidR="001025AA">
        <w:rPr>
          <w:rFonts w:cs="Arial"/>
        </w:rPr>
        <w:t>for example</w:t>
      </w:r>
      <w:r w:rsidRPr="00E83FB5">
        <w:rPr>
          <w:rFonts w:cs="Arial"/>
        </w:rPr>
        <w:t>, communication on more sensitive client information which cannot be entered into</w:t>
      </w:r>
      <w:r w:rsidR="001025AA">
        <w:rPr>
          <w:rFonts w:cs="Arial"/>
        </w:rPr>
        <w:t xml:space="preserve"> the</w:t>
      </w:r>
      <w:r w:rsidRPr="00E83FB5">
        <w:rPr>
          <w:rFonts w:cs="Arial"/>
        </w:rPr>
        <w:t xml:space="preserve"> THVM) should be addressed with your MSD Regional Manager.</w:t>
      </w:r>
    </w:p>
    <w:p w14:paraId="4D6A5C46" w14:textId="0A625A1F" w:rsidR="00E83FB5" w:rsidRDefault="00E83FB5" w:rsidP="00E83FB5">
      <w:pPr>
        <w:pStyle w:val="HUDHeading2"/>
      </w:pPr>
      <w:bookmarkStart w:id="9" w:name="_Toc208995896"/>
      <w:r>
        <w:t>3.3 Referrals to your service</w:t>
      </w:r>
      <w:bookmarkEnd w:id="9"/>
    </w:p>
    <w:p w14:paraId="244FB14C" w14:textId="2BD0FB00" w:rsidR="00E83FB5" w:rsidRPr="00E83FB5" w:rsidRDefault="00E83FB5" w:rsidP="00E83FB5">
      <w:pPr>
        <w:pStyle w:val="HUDBody"/>
        <w:rPr>
          <w:rFonts w:cs="Arial"/>
        </w:rPr>
      </w:pPr>
      <w:r w:rsidRPr="00E83FB5">
        <w:rPr>
          <w:rFonts w:cs="Arial"/>
        </w:rPr>
        <w:t xml:space="preserve">MSD is the primary source of referrals to your transitional housing service. The THVM has been specifically designed to </w:t>
      </w:r>
      <w:r w:rsidR="001025AA">
        <w:rPr>
          <w:rFonts w:cs="Arial"/>
        </w:rPr>
        <w:t xml:space="preserve">efficiently </w:t>
      </w:r>
      <w:r w:rsidRPr="00E83FB5">
        <w:rPr>
          <w:rFonts w:cs="Arial"/>
        </w:rPr>
        <w:t>manage these referrals. Other referral sources include third-party agencies and self-referrals where households approach your service directly.</w:t>
      </w:r>
    </w:p>
    <w:p w14:paraId="205187E7" w14:textId="77777777" w:rsidR="00E83FB5" w:rsidRPr="00E83FB5" w:rsidRDefault="00E83FB5" w:rsidP="00DB73CD">
      <w:pPr>
        <w:pStyle w:val="HUDHeading3"/>
      </w:pPr>
      <w:bookmarkStart w:id="10" w:name="_Toc208995897"/>
      <w:r w:rsidRPr="00E83FB5">
        <w:t>Key requirements</w:t>
      </w:r>
      <w:bookmarkEnd w:id="10"/>
    </w:p>
    <w:p w14:paraId="72D773D8" w14:textId="490AF8F6" w:rsidR="00E83FB5" w:rsidRPr="00E83FB5" w:rsidRDefault="00E83FB5" w:rsidP="003639BD">
      <w:pPr>
        <w:pStyle w:val="HUDBody"/>
      </w:pPr>
      <w:r w:rsidRPr="00E83FB5">
        <w:t>MSD referrals must be given top priority in your assessment process. You should regularly check for new referrals in the THVM system and respond promptly.</w:t>
      </w:r>
    </w:p>
    <w:p w14:paraId="4E8417E2" w14:textId="48ACD765" w:rsidR="00E83FB5" w:rsidRPr="00E83FB5" w:rsidRDefault="00E83FB5" w:rsidP="003639BD">
      <w:pPr>
        <w:pStyle w:val="HUDBody"/>
      </w:pPr>
      <w:r w:rsidRPr="003639BD">
        <w:lastRenderedPageBreak/>
        <w:t>Third-party and self-referrals</w:t>
      </w:r>
      <w:r w:rsidRPr="00E83FB5">
        <w:t xml:space="preserve"> can be accepted but only when there are no MSD referrals in the THVM on the day a referral is being made.</w:t>
      </w:r>
    </w:p>
    <w:p w14:paraId="3C952107" w14:textId="77777777" w:rsidR="00E83FB5" w:rsidRPr="00E83FB5" w:rsidRDefault="00E83FB5" w:rsidP="00DB73CD">
      <w:pPr>
        <w:pStyle w:val="HUDHeading3"/>
      </w:pPr>
      <w:bookmarkStart w:id="11" w:name="_Toc208995898"/>
      <w:r w:rsidRPr="00E83FB5">
        <w:t>Assessment process for MSD referrals</w:t>
      </w:r>
      <w:bookmarkEnd w:id="11"/>
    </w:p>
    <w:p w14:paraId="02C47932" w14:textId="77777777" w:rsidR="005E21D3" w:rsidRDefault="00E83FB5" w:rsidP="00E83FB5">
      <w:pPr>
        <w:pStyle w:val="HUDBullets"/>
      </w:pPr>
      <w:r w:rsidRPr="00E83FB5">
        <w:t>Contact the referred household and assess their suitability within two business days of making successful contact.</w:t>
      </w:r>
    </w:p>
    <w:p w14:paraId="5C942814" w14:textId="77777777" w:rsidR="005E21D3" w:rsidRPr="005E21D3" w:rsidRDefault="00E83FB5" w:rsidP="00E83FB5">
      <w:pPr>
        <w:pStyle w:val="HUDBullets"/>
      </w:pPr>
      <w:r w:rsidRPr="005E21D3">
        <w:rPr>
          <w:rFonts w:cs="Arial"/>
        </w:rPr>
        <w:t>Assess whether the household composition is suitable for the available property and your service as per your service agreement.</w:t>
      </w:r>
    </w:p>
    <w:p w14:paraId="716D87C5" w14:textId="7BDA2171" w:rsidR="005E21D3" w:rsidRPr="005E21D3" w:rsidRDefault="003F3E36" w:rsidP="00E83FB5">
      <w:pPr>
        <w:pStyle w:val="HUDBullets"/>
      </w:pPr>
      <w:r>
        <w:rPr>
          <w:rFonts w:cs="Arial"/>
        </w:rPr>
        <w:t>Confirm</w:t>
      </w:r>
      <w:r w:rsidRPr="005E21D3">
        <w:rPr>
          <w:rFonts w:cs="Arial"/>
        </w:rPr>
        <w:t xml:space="preserve"> </w:t>
      </w:r>
      <w:r w:rsidR="00E83FB5" w:rsidRPr="005E21D3">
        <w:rPr>
          <w:rFonts w:cs="Arial"/>
        </w:rPr>
        <w:t>the household is willing to commit to seeking alternative adequate accommodation and demonstrate they are taking reasonable steps to find housing, appropriate to their circumstances.</w:t>
      </w:r>
    </w:p>
    <w:p w14:paraId="5D65E5D2" w14:textId="7A41E49C" w:rsidR="00E83FB5" w:rsidRPr="005E21D3" w:rsidRDefault="00E83FB5" w:rsidP="00E83FB5">
      <w:pPr>
        <w:pStyle w:val="HUDBullets"/>
      </w:pPr>
      <w:r w:rsidRPr="005E21D3">
        <w:rPr>
          <w:rFonts w:cs="Arial"/>
        </w:rPr>
        <w:t>Update the record in</w:t>
      </w:r>
      <w:r w:rsidR="001025AA">
        <w:rPr>
          <w:rFonts w:cs="Arial"/>
        </w:rPr>
        <w:t xml:space="preserve"> the</w:t>
      </w:r>
      <w:r w:rsidRPr="005E21D3">
        <w:rPr>
          <w:rFonts w:cs="Arial"/>
        </w:rPr>
        <w:t xml:space="preserve"> THVM with your decision within one business day of completing your assessment.</w:t>
      </w:r>
    </w:p>
    <w:p w14:paraId="292E9C88" w14:textId="77777777" w:rsidR="00E83FB5" w:rsidRPr="00E83FB5" w:rsidRDefault="00E83FB5" w:rsidP="00DB73CD">
      <w:pPr>
        <w:pStyle w:val="HUDHeading3"/>
      </w:pPr>
      <w:bookmarkStart w:id="12" w:name="_Toc208995899"/>
      <w:r w:rsidRPr="00E83FB5">
        <w:t>Valid reasons for declining MSD referrals</w:t>
      </w:r>
      <w:bookmarkEnd w:id="12"/>
    </w:p>
    <w:p w14:paraId="7C37CED1" w14:textId="4CEC2417" w:rsidR="00E83FB5" w:rsidRPr="00E83FB5" w:rsidRDefault="00E83FB5" w:rsidP="00E83FB5">
      <w:pPr>
        <w:pStyle w:val="HUDBody"/>
        <w:rPr>
          <w:rFonts w:cs="Arial"/>
        </w:rPr>
      </w:pPr>
      <w:r w:rsidRPr="00E83FB5">
        <w:rPr>
          <w:rFonts w:cs="Arial"/>
        </w:rPr>
        <w:t>You must have good reason to decline an MSD referral</w:t>
      </w:r>
      <w:r w:rsidR="001025AA">
        <w:rPr>
          <w:rFonts w:cs="Arial"/>
        </w:rPr>
        <w:t>. These include</w:t>
      </w:r>
      <w:r w:rsidRPr="00E83FB5">
        <w:rPr>
          <w:rFonts w:cs="Arial"/>
        </w:rPr>
        <w:t>:</w:t>
      </w:r>
    </w:p>
    <w:p w14:paraId="43E3673E" w14:textId="00398073" w:rsidR="005E21D3" w:rsidRDefault="001025AA" w:rsidP="005E21D3">
      <w:pPr>
        <w:pStyle w:val="HUDBullets"/>
      </w:pPr>
      <w:r>
        <w:t>s</w:t>
      </w:r>
      <w:r w:rsidR="00E83FB5" w:rsidRPr="00E83FB5">
        <w:t>afety concerns for staff, other households or other individuals associated with your service</w:t>
      </w:r>
    </w:p>
    <w:p w14:paraId="07A233B4" w14:textId="08469495" w:rsidR="005E21D3" w:rsidRDefault="001025AA" w:rsidP="005E21D3">
      <w:pPr>
        <w:pStyle w:val="HUDBullets"/>
      </w:pPr>
      <w:r>
        <w:t>d</w:t>
      </w:r>
      <w:r w:rsidR="00E83FB5" w:rsidRPr="00E83FB5">
        <w:t>omestic violence concerns</w:t>
      </w:r>
    </w:p>
    <w:p w14:paraId="49ACD5BA" w14:textId="30734C89" w:rsidR="00E83FB5" w:rsidRPr="00E83FB5" w:rsidRDefault="001025AA" w:rsidP="005E21D3">
      <w:pPr>
        <w:pStyle w:val="HUDBullets"/>
      </w:pPr>
      <w:r>
        <w:t>c</w:t>
      </w:r>
      <w:r w:rsidR="00E83FB5" w:rsidRPr="00E83FB5">
        <w:t>riminal convictions</w:t>
      </w:r>
    </w:p>
    <w:p w14:paraId="06902FFE" w14:textId="44258B32" w:rsidR="00E83FB5" w:rsidRPr="00E83FB5" w:rsidRDefault="001025AA" w:rsidP="005E21D3">
      <w:pPr>
        <w:pStyle w:val="HUDBullets"/>
      </w:pPr>
      <w:r>
        <w:t>d</w:t>
      </w:r>
      <w:r w:rsidR="00E83FB5" w:rsidRPr="00E83FB5">
        <w:t>rug and alcohol issues</w:t>
      </w:r>
    </w:p>
    <w:p w14:paraId="648DDA92" w14:textId="6313249F" w:rsidR="00E83FB5" w:rsidRPr="00E83FB5" w:rsidRDefault="001025AA" w:rsidP="005E21D3">
      <w:pPr>
        <w:pStyle w:val="HUDBullets"/>
      </w:pPr>
      <w:r>
        <w:t>g</w:t>
      </w:r>
      <w:r w:rsidR="00E83FB5" w:rsidRPr="00E83FB5">
        <w:t>ang affiliations</w:t>
      </w:r>
    </w:p>
    <w:p w14:paraId="3106EED4" w14:textId="34355AC9" w:rsidR="00E83FB5" w:rsidRPr="00E83FB5" w:rsidRDefault="001025AA" w:rsidP="005E21D3">
      <w:pPr>
        <w:pStyle w:val="HUDBullets"/>
      </w:pPr>
      <w:r>
        <w:t>m</w:t>
      </w:r>
      <w:r w:rsidR="00E83FB5" w:rsidRPr="00E83FB5">
        <w:t>ental health concerns</w:t>
      </w:r>
    </w:p>
    <w:p w14:paraId="7205020B" w14:textId="616591CD" w:rsidR="00E83FB5" w:rsidRPr="00E83FB5" w:rsidRDefault="001025AA" w:rsidP="005E21D3">
      <w:pPr>
        <w:pStyle w:val="HUDBullets"/>
      </w:pPr>
      <w:r>
        <w:t>u</w:t>
      </w:r>
      <w:r w:rsidR="00E83FB5" w:rsidRPr="00E83FB5">
        <w:t>nsuitable family size</w:t>
      </w:r>
    </w:p>
    <w:p w14:paraId="452C67B1" w14:textId="10974502" w:rsidR="00E83FB5" w:rsidRPr="00E83FB5" w:rsidRDefault="001025AA" w:rsidP="005E21D3">
      <w:pPr>
        <w:pStyle w:val="HUDBullets"/>
      </w:pPr>
      <w:r>
        <w:t>u</w:t>
      </w:r>
      <w:r w:rsidR="00E83FB5" w:rsidRPr="00E83FB5">
        <w:t>nsuitable location.</w:t>
      </w:r>
    </w:p>
    <w:p w14:paraId="5392C957" w14:textId="3C2FC793" w:rsidR="00E83FB5" w:rsidRPr="00E83FB5" w:rsidRDefault="00E83FB5" w:rsidP="00E83FB5">
      <w:pPr>
        <w:pStyle w:val="HUDBody"/>
        <w:rPr>
          <w:rFonts w:cs="Arial"/>
        </w:rPr>
      </w:pPr>
      <w:r w:rsidRPr="00E83FB5">
        <w:rPr>
          <w:rFonts w:cs="Arial"/>
        </w:rPr>
        <w:t>When declining a referral, you must select the specific reasons in</w:t>
      </w:r>
      <w:r w:rsidR="001025AA">
        <w:rPr>
          <w:rFonts w:cs="Arial"/>
        </w:rPr>
        <w:t xml:space="preserve"> the</w:t>
      </w:r>
      <w:r w:rsidRPr="00E83FB5">
        <w:rPr>
          <w:rFonts w:cs="Arial"/>
        </w:rPr>
        <w:t xml:space="preserve"> THVM and provide additional explanation if needed. Households declined by your service should be referred back to MSD for help with other housing services. The reasons for declining households</w:t>
      </w:r>
      <w:r w:rsidR="00DC61E7">
        <w:rPr>
          <w:rFonts w:cs="Arial"/>
        </w:rPr>
        <w:t>’</w:t>
      </w:r>
      <w:r w:rsidRPr="00E83FB5">
        <w:rPr>
          <w:rFonts w:cs="Arial"/>
        </w:rPr>
        <w:t xml:space="preserve"> entry into transitional housing may also be applied to emergency housing. </w:t>
      </w:r>
    </w:p>
    <w:p w14:paraId="4142F8DB" w14:textId="020D6D4C" w:rsidR="00E83FB5" w:rsidRPr="00E83FB5" w:rsidRDefault="00E83FB5" w:rsidP="00DB73CD">
      <w:pPr>
        <w:pStyle w:val="HUDHeading3"/>
      </w:pPr>
      <w:bookmarkStart w:id="13" w:name="_Toc208995900"/>
      <w:r w:rsidRPr="00E83FB5">
        <w:t xml:space="preserve">Managing referrals in </w:t>
      </w:r>
      <w:r w:rsidR="00DC61E7">
        <w:t xml:space="preserve">the </w:t>
      </w:r>
      <w:r w:rsidRPr="00E83FB5">
        <w:t>THVM</w:t>
      </w:r>
      <w:bookmarkEnd w:id="13"/>
    </w:p>
    <w:p w14:paraId="4151B2C4" w14:textId="0B272093" w:rsidR="00E83FB5" w:rsidRPr="00E83FB5" w:rsidRDefault="00E83FB5" w:rsidP="005E21D3">
      <w:pPr>
        <w:pStyle w:val="HUDBullets"/>
      </w:pPr>
      <w:r w:rsidRPr="00E83FB5">
        <w:t>Log</w:t>
      </w:r>
      <w:r w:rsidR="00DC61E7">
        <w:t xml:space="preserve"> </w:t>
      </w:r>
      <w:r w:rsidRPr="00E83FB5">
        <w:t>on regularly to view current referrals.</w:t>
      </w:r>
    </w:p>
    <w:p w14:paraId="7643CE6F" w14:textId="2621747C" w:rsidR="00E83FB5" w:rsidRPr="00E83FB5" w:rsidRDefault="00E83FB5" w:rsidP="005E21D3">
      <w:pPr>
        <w:pStyle w:val="HUDBullets"/>
      </w:pPr>
      <w:r w:rsidRPr="00E83FB5">
        <w:t xml:space="preserve">Complete your assessment within two business days of contact and update </w:t>
      </w:r>
      <w:r w:rsidR="00DC61E7">
        <w:t xml:space="preserve">the </w:t>
      </w:r>
      <w:r w:rsidRPr="00E83FB5">
        <w:t>THVM within one business day of your decision.</w:t>
      </w:r>
    </w:p>
    <w:p w14:paraId="2253723C" w14:textId="39CE10F3" w:rsidR="00E83FB5" w:rsidRPr="00E83FB5" w:rsidRDefault="00DC61E7" w:rsidP="005E21D3">
      <w:pPr>
        <w:pStyle w:val="HUDBullets"/>
      </w:pPr>
      <w:r>
        <w:lastRenderedPageBreak/>
        <w:t>To d</w:t>
      </w:r>
      <w:r w:rsidR="00E83FB5" w:rsidRPr="003639BD">
        <w:t>eclin</w:t>
      </w:r>
      <w:r>
        <w:t>e</w:t>
      </w:r>
      <w:r w:rsidR="00E83FB5" w:rsidRPr="003639BD">
        <w:t xml:space="preserve"> a referral</w:t>
      </w:r>
      <w:r>
        <w:t>, u</w:t>
      </w:r>
      <w:r w:rsidR="00E83FB5" w:rsidRPr="00E83FB5">
        <w:t>se the “</w:t>
      </w:r>
      <w:r>
        <w:t>c</w:t>
      </w:r>
      <w:r w:rsidR="00E83FB5" w:rsidRPr="00E83FB5">
        <w:t xml:space="preserve">ancel </w:t>
      </w:r>
      <w:r>
        <w:t>r</w:t>
      </w:r>
      <w:r w:rsidR="00E83FB5" w:rsidRPr="00E83FB5">
        <w:t>eferral” function, select “</w:t>
      </w:r>
      <w:r>
        <w:t>d</w:t>
      </w:r>
      <w:r w:rsidR="00E83FB5" w:rsidRPr="00E83FB5">
        <w:t>eclined” as the reason and choose the specific reasons from the options provided.</w:t>
      </w:r>
    </w:p>
    <w:p w14:paraId="76522FA6" w14:textId="316D0595" w:rsidR="00E83FB5" w:rsidRPr="00E83FB5" w:rsidRDefault="00E83FB5" w:rsidP="00DB73CD">
      <w:pPr>
        <w:pStyle w:val="HUDHeading3"/>
      </w:pPr>
      <w:bookmarkStart w:id="14" w:name="_Toc208995901"/>
      <w:r w:rsidRPr="00E83FB5">
        <w:t xml:space="preserve">Third-party and </w:t>
      </w:r>
      <w:r w:rsidR="00DC61E7">
        <w:t>s</w:t>
      </w:r>
      <w:r w:rsidRPr="00E83FB5">
        <w:t>elf-referrals</w:t>
      </w:r>
      <w:bookmarkEnd w:id="14"/>
    </w:p>
    <w:p w14:paraId="49FAFAED" w14:textId="77777777" w:rsidR="00E83FB5" w:rsidRPr="00E83FB5" w:rsidRDefault="00E83FB5" w:rsidP="00E83FB5">
      <w:pPr>
        <w:pStyle w:val="HUDBody"/>
        <w:rPr>
          <w:rFonts w:cs="Arial"/>
        </w:rPr>
      </w:pPr>
      <w:r w:rsidRPr="00E83FB5">
        <w:rPr>
          <w:rFonts w:cs="Arial"/>
        </w:rPr>
        <w:t>For households who are third-party referred or who self-refer:</w:t>
      </w:r>
    </w:p>
    <w:p w14:paraId="3C79273F" w14:textId="50117116" w:rsidR="00E83FB5" w:rsidRPr="00E83FB5" w:rsidRDefault="00DC61E7" w:rsidP="005E21D3">
      <w:pPr>
        <w:pStyle w:val="HUDBullets"/>
      </w:pPr>
      <w:r>
        <w:t>c</w:t>
      </w:r>
      <w:r w:rsidR="00E83FB5" w:rsidRPr="00E83FB5">
        <w:t>omplete a provider-led assessment to determine their immediate housing need</w:t>
      </w:r>
    </w:p>
    <w:p w14:paraId="0EE36ADD" w14:textId="656F0F07" w:rsidR="00E83FB5" w:rsidRPr="00E83FB5" w:rsidRDefault="00DC61E7" w:rsidP="005E21D3">
      <w:pPr>
        <w:pStyle w:val="HUDBullets"/>
      </w:pPr>
      <w:r>
        <w:t>v</w:t>
      </w:r>
      <w:r w:rsidR="00E83FB5" w:rsidRPr="00E83FB5">
        <w:t>erify the household meets applicable residency, income, cash asset and age requirements</w:t>
      </w:r>
    </w:p>
    <w:p w14:paraId="6273EB5F" w14:textId="54FBDA78" w:rsidR="005E21D3" w:rsidRDefault="00DC61E7" w:rsidP="00E83FB5">
      <w:pPr>
        <w:pStyle w:val="HUDBullets"/>
      </w:pPr>
      <w:r>
        <w:t>m</w:t>
      </w:r>
      <w:r w:rsidR="00E83FB5" w:rsidRPr="00E83FB5">
        <w:t>aintain evidence of your assessment process</w:t>
      </w:r>
    </w:p>
    <w:p w14:paraId="763A53C4" w14:textId="5803C5FA" w:rsidR="00E83FB5" w:rsidRPr="005E21D3" w:rsidRDefault="00DC61E7" w:rsidP="00E83FB5">
      <w:pPr>
        <w:pStyle w:val="HUDBullets"/>
      </w:pPr>
      <w:r>
        <w:rPr>
          <w:rFonts w:cs="Arial"/>
        </w:rPr>
        <w:t>r</w:t>
      </w:r>
      <w:r w:rsidR="00E83FB5" w:rsidRPr="005E21D3">
        <w:rPr>
          <w:rFonts w:cs="Arial"/>
        </w:rPr>
        <w:t xml:space="preserve">ecord these placements appropriately in </w:t>
      </w:r>
      <w:r>
        <w:rPr>
          <w:rFonts w:cs="Arial"/>
        </w:rPr>
        <w:t xml:space="preserve">the </w:t>
      </w:r>
      <w:r w:rsidR="00E83FB5" w:rsidRPr="005E21D3">
        <w:rPr>
          <w:rFonts w:cs="Arial"/>
        </w:rPr>
        <w:t>THVM using the provider-assessed or non-MSD placement functions.</w:t>
      </w:r>
    </w:p>
    <w:p w14:paraId="6ACF61BF" w14:textId="36AC6AD5" w:rsidR="00E83FB5" w:rsidRDefault="00E83FB5" w:rsidP="00E83FB5">
      <w:pPr>
        <w:pStyle w:val="HUDBody"/>
        <w:rPr>
          <w:rFonts w:cs="Arial"/>
        </w:rPr>
      </w:pPr>
      <w:r w:rsidRPr="00E83FB5">
        <w:rPr>
          <w:rFonts w:cs="Arial"/>
        </w:rPr>
        <w:t>The following table provides more detail to support your assessment.</w:t>
      </w:r>
    </w:p>
    <w:tbl>
      <w:tblPr>
        <w:tblStyle w:val="TableGrid"/>
        <w:tblW w:w="0" w:type="auto"/>
        <w:tblLook w:val="04A0" w:firstRow="1" w:lastRow="0" w:firstColumn="1" w:lastColumn="0" w:noHBand="0" w:noVBand="1"/>
      </w:tblPr>
      <w:tblGrid>
        <w:gridCol w:w="3415"/>
        <w:gridCol w:w="5601"/>
      </w:tblGrid>
      <w:tr w:rsidR="00E83FB5" w14:paraId="01159A78" w14:textId="77777777" w:rsidTr="00E8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E8E8E8" w:themeFill="background2"/>
          </w:tcPr>
          <w:p w14:paraId="390E4F27" w14:textId="061043AA" w:rsidR="00E83FB5" w:rsidRPr="003639BD" w:rsidRDefault="00E83FB5" w:rsidP="00E83FB5">
            <w:pPr>
              <w:pStyle w:val="HUDBody"/>
              <w:rPr>
                <w:rFonts w:cs="Arial"/>
                <w:b w:val="0"/>
                <w:bCs/>
              </w:rPr>
            </w:pPr>
            <w:r w:rsidRPr="003639BD">
              <w:rPr>
                <w:rFonts w:cs="Arial"/>
                <w:bCs/>
              </w:rPr>
              <w:t>Immediate housing need</w:t>
            </w:r>
          </w:p>
        </w:tc>
        <w:tc>
          <w:tcPr>
            <w:tcW w:w="5601" w:type="dxa"/>
            <w:shd w:val="clear" w:color="auto" w:fill="auto"/>
          </w:tcPr>
          <w:p w14:paraId="74FF4C0E" w14:textId="23CEFFEF" w:rsidR="00E83FB5" w:rsidRPr="00E83FB5" w:rsidRDefault="00E83FB5" w:rsidP="00E83FB5">
            <w:pPr>
              <w:pStyle w:val="HUDBody"/>
              <w:cnfStyle w:val="100000000000" w:firstRow="1" w:lastRow="0" w:firstColumn="0" w:lastColumn="0" w:oddVBand="0" w:evenVBand="0" w:oddHBand="0" w:evenHBand="0" w:firstRowFirstColumn="0" w:firstRowLastColumn="0" w:lastRowFirstColumn="0" w:lastRowLastColumn="0"/>
              <w:rPr>
                <w:rFonts w:cs="Arial"/>
                <w:b w:val="0"/>
                <w:bCs/>
              </w:rPr>
            </w:pPr>
            <w:r w:rsidRPr="00E83FB5">
              <w:rPr>
                <w:rFonts w:cs="Arial"/>
                <w:b w:val="0"/>
                <w:bCs/>
              </w:rPr>
              <w:t>A household is considered to have an immediate housing need when they do not have an adequate place to stay that night or in the next seven days</w:t>
            </w:r>
          </w:p>
        </w:tc>
      </w:tr>
      <w:tr w:rsidR="00E83FB5" w14:paraId="06C7E2DA" w14:textId="77777777" w:rsidTr="00E83FB5">
        <w:tc>
          <w:tcPr>
            <w:cnfStyle w:val="001000000000" w:firstRow="0" w:lastRow="0" w:firstColumn="1" w:lastColumn="0" w:oddVBand="0" w:evenVBand="0" w:oddHBand="0" w:evenHBand="0" w:firstRowFirstColumn="0" w:firstRowLastColumn="0" w:lastRowFirstColumn="0" w:lastRowLastColumn="0"/>
            <w:tcW w:w="3415" w:type="dxa"/>
          </w:tcPr>
          <w:p w14:paraId="34D397EE" w14:textId="1779345C" w:rsidR="00E83FB5" w:rsidRPr="003639BD" w:rsidRDefault="00E83FB5" w:rsidP="00E83FB5">
            <w:pPr>
              <w:pStyle w:val="HUDBody"/>
              <w:rPr>
                <w:rFonts w:cs="Arial"/>
                <w:b w:val="0"/>
                <w:bCs/>
              </w:rPr>
            </w:pPr>
            <w:r w:rsidRPr="003639BD">
              <w:rPr>
                <w:rFonts w:cs="Arial"/>
                <w:bCs/>
              </w:rPr>
              <w:t>Residency</w:t>
            </w:r>
          </w:p>
        </w:tc>
        <w:tc>
          <w:tcPr>
            <w:tcW w:w="5601" w:type="dxa"/>
          </w:tcPr>
          <w:p w14:paraId="2C759988" w14:textId="61139B64"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r w:rsidRPr="00E83FB5">
              <w:rPr>
                <w:rFonts w:cs="Arial"/>
              </w:rPr>
              <w:t>The household members meet the applicable residency requirements</w:t>
            </w:r>
          </w:p>
          <w:p w14:paraId="347850FE" w14:textId="483D3DD2" w:rsid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hyperlink r:id="rId16" w:history="1">
              <w:r w:rsidRPr="00E83FB5">
                <w:rPr>
                  <w:rStyle w:val="Hyperlink"/>
                  <w:rFonts w:cs="Arial"/>
                </w:rPr>
                <w:t xml:space="preserve">Residence criteria </w:t>
              </w:r>
              <w:r w:rsidR="00DC61E7">
                <w:rPr>
                  <w:rStyle w:val="Hyperlink"/>
                  <w:rFonts w:cs="Arial"/>
                </w:rPr>
                <w:t>–</w:t>
              </w:r>
              <w:r w:rsidRPr="00E83FB5">
                <w:rPr>
                  <w:rStyle w:val="Hyperlink"/>
                  <w:rFonts w:cs="Arial"/>
                </w:rPr>
                <w:t xml:space="preserve"> map (workandincome.govt.nz)</w:t>
              </w:r>
            </w:hyperlink>
          </w:p>
        </w:tc>
      </w:tr>
      <w:tr w:rsidR="00E83FB5" w14:paraId="75537F3E" w14:textId="77777777" w:rsidTr="00E83FB5">
        <w:tc>
          <w:tcPr>
            <w:cnfStyle w:val="001000000000" w:firstRow="0" w:lastRow="0" w:firstColumn="1" w:lastColumn="0" w:oddVBand="0" w:evenVBand="0" w:oddHBand="0" w:evenHBand="0" w:firstRowFirstColumn="0" w:firstRowLastColumn="0" w:lastRowFirstColumn="0" w:lastRowLastColumn="0"/>
            <w:tcW w:w="3415" w:type="dxa"/>
          </w:tcPr>
          <w:p w14:paraId="3D56745D" w14:textId="743298C7" w:rsidR="00E83FB5" w:rsidRPr="003639BD" w:rsidRDefault="00E83FB5" w:rsidP="00E83FB5">
            <w:pPr>
              <w:pStyle w:val="HUDBody"/>
              <w:rPr>
                <w:rFonts w:cs="Arial"/>
                <w:b w:val="0"/>
                <w:bCs/>
              </w:rPr>
            </w:pPr>
            <w:r w:rsidRPr="003639BD">
              <w:rPr>
                <w:rFonts w:cs="Arial"/>
                <w:bCs/>
              </w:rPr>
              <w:t>Income and assets</w:t>
            </w:r>
          </w:p>
        </w:tc>
        <w:tc>
          <w:tcPr>
            <w:tcW w:w="5601" w:type="dxa"/>
          </w:tcPr>
          <w:p w14:paraId="2FC91E43" w14:textId="7CDA90A9"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r w:rsidRPr="00E83FB5">
              <w:rPr>
                <w:rFonts w:cs="Arial"/>
              </w:rPr>
              <w:t xml:space="preserve">The household income </w:t>
            </w:r>
            <w:r w:rsidR="00FD6B05">
              <w:rPr>
                <w:rFonts w:cs="Arial"/>
              </w:rPr>
              <w:t>must</w:t>
            </w:r>
            <w:r w:rsidR="00FD6B05" w:rsidRPr="00E83FB5">
              <w:rPr>
                <w:rFonts w:cs="Arial"/>
              </w:rPr>
              <w:t xml:space="preserve"> </w:t>
            </w:r>
            <w:r w:rsidRPr="00E83FB5">
              <w:rPr>
                <w:rFonts w:cs="Arial"/>
              </w:rPr>
              <w:t>not exceed the income limits</w:t>
            </w:r>
            <w:r w:rsidR="00DC61E7">
              <w:rPr>
                <w:rFonts w:cs="Arial"/>
              </w:rPr>
              <w:t>.</w:t>
            </w:r>
          </w:p>
          <w:p w14:paraId="177870BA" w14:textId="1DDF4F93"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r w:rsidRPr="00E83FB5">
              <w:rPr>
                <w:rFonts w:cs="Arial"/>
              </w:rPr>
              <w:t>The household</w:t>
            </w:r>
            <w:r w:rsidR="00FD6B05">
              <w:rPr>
                <w:rFonts w:cs="Arial"/>
              </w:rPr>
              <w:t>’s</w:t>
            </w:r>
            <w:r w:rsidRPr="00E83FB5">
              <w:rPr>
                <w:rFonts w:cs="Arial"/>
              </w:rPr>
              <w:t xml:space="preserve"> cash assets </w:t>
            </w:r>
            <w:r w:rsidR="00FD6B05">
              <w:rPr>
                <w:rFonts w:cs="Arial"/>
              </w:rPr>
              <w:t>must</w:t>
            </w:r>
            <w:r w:rsidRPr="00E83FB5">
              <w:rPr>
                <w:rFonts w:cs="Arial"/>
              </w:rPr>
              <w:t xml:space="preserve"> not exceed the cash asset limits</w:t>
            </w:r>
            <w:r w:rsidR="00FD6B05">
              <w:rPr>
                <w:rFonts w:cs="Arial"/>
              </w:rPr>
              <w:t>.</w:t>
            </w:r>
          </w:p>
          <w:p w14:paraId="5159DD0B" w14:textId="46B964EE" w:rsidR="00E83FB5" w:rsidRDefault="00FD6B0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r>
              <w:rPr>
                <w:rFonts w:cs="Arial"/>
              </w:rPr>
              <w:t>I</w:t>
            </w:r>
            <w:r w:rsidR="00E83FB5" w:rsidRPr="00E83FB5">
              <w:rPr>
                <w:rFonts w:cs="Arial"/>
              </w:rPr>
              <w:t>n exceptional circumstances, income and asset limits (which apply to emergency housing) can be exceeded.</w:t>
            </w:r>
          </w:p>
          <w:p w14:paraId="5C298EDC" w14:textId="77777777" w:rsidR="00E222A6" w:rsidRPr="00E83FB5" w:rsidRDefault="00E222A6" w:rsidP="00E222A6">
            <w:pPr>
              <w:pStyle w:val="HUDBody"/>
              <w:cnfStyle w:val="000000000000" w:firstRow="0" w:lastRow="0" w:firstColumn="0" w:lastColumn="0" w:oddVBand="0" w:evenVBand="0" w:oddHBand="0" w:evenHBand="0" w:firstRowFirstColumn="0" w:firstRowLastColumn="0" w:lastRowFirstColumn="0" w:lastRowLastColumn="0"/>
              <w:rPr>
                <w:rFonts w:cs="Arial"/>
              </w:rPr>
            </w:pPr>
            <w:hyperlink r:id="rId17" w:history="1">
              <w:r w:rsidRPr="00E83FB5">
                <w:rPr>
                  <w:rStyle w:val="Hyperlink"/>
                  <w:rFonts w:cs="Arial"/>
                </w:rPr>
                <w:t xml:space="preserve">Income limits (current) </w:t>
              </w:r>
              <w:r>
                <w:rPr>
                  <w:rStyle w:val="Hyperlink"/>
                  <w:rFonts w:cs="Arial"/>
                </w:rPr>
                <w:t>–</w:t>
              </w:r>
              <w:r w:rsidRPr="00E83FB5">
                <w:rPr>
                  <w:rStyle w:val="Hyperlink"/>
                  <w:rFonts w:cs="Arial"/>
                </w:rPr>
                <w:t xml:space="preserve"> map (workandincome.govt.nz) </w:t>
              </w:r>
            </w:hyperlink>
          </w:p>
          <w:p w14:paraId="698A694B" w14:textId="2F8ED9F5" w:rsidR="00E222A6" w:rsidRPr="00092BE3" w:rsidRDefault="00092BE3" w:rsidP="00E83FB5">
            <w:pPr>
              <w:pStyle w:val="HUDBody"/>
              <w:cnfStyle w:val="000000000000" w:firstRow="0" w:lastRow="0" w:firstColumn="0" w:lastColumn="0" w:oddVBand="0" w:evenVBand="0" w:oddHBand="0" w:evenHBand="0" w:firstRowFirstColumn="0" w:firstRowLastColumn="0" w:lastRowFirstColumn="0" w:lastRowLastColumn="0"/>
              <w:rPr>
                <w:rStyle w:val="Hyperlink"/>
                <w:rFonts w:cs="Arial"/>
              </w:rPr>
            </w:pPr>
            <w:r>
              <w:rPr>
                <w:rFonts w:cs="Arial"/>
              </w:rPr>
              <w:fldChar w:fldCharType="begin"/>
            </w:r>
            <w:r>
              <w:rPr>
                <w:rFonts w:cs="Arial"/>
              </w:rPr>
              <w:instrText>HYPERLINK "https://www.workandincome.govt.nz/map/income-support/extra-help/emergency-housing/exceptional-circumstances-for-income-and-cash-asset-limits.html"</w:instrText>
            </w:r>
            <w:r>
              <w:rPr>
                <w:rFonts w:cs="Arial"/>
              </w:rPr>
            </w:r>
            <w:r>
              <w:rPr>
                <w:rFonts w:cs="Arial"/>
              </w:rPr>
              <w:fldChar w:fldCharType="separate"/>
            </w:r>
            <w:r w:rsidR="00E222A6" w:rsidRPr="00092BE3">
              <w:rPr>
                <w:rStyle w:val="Hyperlink"/>
                <w:rFonts w:cs="Arial"/>
              </w:rPr>
              <w:t>Exceptional circumstances for income and cash asset limits – map (workandincome.govt.nz)</w:t>
            </w:r>
          </w:p>
          <w:p w14:paraId="6538FC0B" w14:textId="18BA9231" w:rsidR="00E222A6" w:rsidRPr="00E83FB5" w:rsidRDefault="00092BE3" w:rsidP="00E222A6">
            <w:pPr>
              <w:pStyle w:val="HUDBody"/>
              <w:cnfStyle w:val="000000000000" w:firstRow="0" w:lastRow="0" w:firstColumn="0" w:lastColumn="0" w:oddVBand="0" w:evenVBand="0" w:oddHBand="0" w:evenHBand="0" w:firstRowFirstColumn="0" w:firstRowLastColumn="0" w:lastRowFirstColumn="0" w:lastRowLastColumn="0"/>
              <w:rPr>
                <w:rFonts w:cs="Arial"/>
              </w:rPr>
            </w:pPr>
            <w:r>
              <w:rPr>
                <w:rFonts w:cs="Arial"/>
              </w:rPr>
              <w:fldChar w:fldCharType="end"/>
            </w:r>
            <w:hyperlink r:id="rId18" w:history="1">
              <w:r w:rsidR="00E222A6" w:rsidRPr="00E83FB5">
                <w:rPr>
                  <w:rStyle w:val="Hyperlink"/>
                  <w:rFonts w:cs="Arial"/>
                </w:rPr>
                <w:t xml:space="preserve">Cash asset limit </w:t>
              </w:r>
              <w:r w:rsidR="00E222A6">
                <w:rPr>
                  <w:rStyle w:val="Hyperlink"/>
                  <w:rFonts w:cs="Arial"/>
                </w:rPr>
                <w:t>–</w:t>
              </w:r>
              <w:r w:rsidR="00E222A6" w:rsidRPr="00E83FB5">
                <w:rPr>
                  <w:rStyle w:val="Hyperlink"/>
                  <w:rFonts w:cs="Arial"/>
                </w:rPr>
                <w:t xml:space="preserve"> map (workandincome.govt.nz)</w:t>
              </w:r>
            </w:hyperlink>
          </w:p>
          <w:p w14:paraId="38BAE798" w14:textId="660D08CA" w:rsidR="00E222A6" w:rsidRDefault="00E222A6" w:rsidP="00E222A6">
            <w:pPr>
              <w:pStyle w:val="HUDBody"/>
              <w:cnfStyle w:val="000000000000" w:firstRow="0" w:lastRow="0" w:firstColumn="0" w:lastColumn="0" w:oddVBand="0" w:evenVBand="0" w:oddHBand="0" w:evenHBand="0" w:firstRowFirstColumn="0" w:firstRowLastColumn="0" w:lastRowFirstColumn="0" w:lastRowLastColumn="0"/>
              <w:rPr>
                <w:rFonts w:cs="Arial"/>
              </w:rPr>
            </w:pPr>
            <w:hyperlink r:id="rId19" w:history="1">
              <w:r w:rsidRPr="00E83FB5">
                <w:rPr>
                  <w:rStyle w:val="Hyperlink"/>
                  <w:rFonts w:cs="Arial"/>
                </w:rPr>
                <w:t xml:space="preserve">Types of cash assets </w:t>
              </w:r>
              <w:r>
                <w:rPr>
                  <w:rStyle w:val="Hyperlink"/>
                  <w:rFonts w:cs="Arial"/>
                </w:rPr>
                <w:t>–</w:t>
              </w:r>
              <w:r w:rsidRPr="00E83FB5">
                <w:rPr>
                  <w:rStyle w:val="Hyperlink"/>
                  <w:rFonts w:cs="Arial"/>
                </w:rPr>
                <w:t xml:space="preserve"> map (workandincome.govt.nz)</w:t>
              </w:r>
            </w:hyperlink>
          </w:p>
        </w:tc>
      </w:tr>
      <w:tr w:rsidR="00E83FB5" w14:paraId="56A0FD17" w14:textId="77777777" w:rsidTr="00E83FB5">
        <w:tc>
          <w:tcPr>
            <w:cnfStyle w:val="001000000000" w:firstRow="0" w:lastRow="0" w:firstColumn="1" w:lastColumn="0" w:oddVBand="0" w:evenVBand="0" w:oddHBand="0" w:evenHBand="0" w:firstRowFirstColumn="0" w:firstRowLastColumn="0" w:lastRowFirstColumn="0" w:lastRowLastColumn="0"/>
            <w:tcW w:w="3415" w:type="dxa"/>
          </w:tcPr>
          <w:p w14:paraId="1F45633D" w14:textId="73E0808D" w:rsidR="00E83FB5" w:rsidRPr="003639BD" w:rsidRDefault="00E83FB5" w:rsidP="00E83FB5">
            <w:pPr>
              <w:pStyle w:val="HUDBody"/>
              <w:rPr>
                <w:rFonts w:cs="Arial"/>
                <w:b w:val="0"/>
                <w:bCs/>
              </w:rPr>
            </w:pPr>
            <w:r w:rsidRPr="003639BD">
              <w:rPr>
                <w:rFonts w:cs="Arial"/>
                <w:bCs/>
              </w:rPr>
              <w:lastRenderedPageBreak/>
              <w:t>Age</w:t>
            </w:r>
          </w:p>
        </w:tc>
        <w:tc>
          <w:tcPr>
            <w:tcW w:w="5601" w:type="dxa"/>
          </w:tcPr>
          <w:p w14:paraId="783B2D1E" w14:textId="302CE53C" w:rsidR="00E83FB5" w:rsidRPr="00E83FB5" w:rsidRDefault="00E83FB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r w:rsidRPr="00E83FB5">
              <w:rPr>
                <w:rFonts w:cs="Arial"/>
              </w:rPr>
              <w:t xml:space="preserve">The main applicant for the household is 18 years old or is aged between 16 or 17 and is financially independent. More information on financial independence for household members aged 16 or 17 can be found </w:t>
            </w:r>
            <w:r w:rsidR="00FD6B05">
              <w:rPr>
                <w:rFonts w:cs="Arial"/>
              </w:rPr>
              <w:t>on the Work and Income website.</w:t>
            </w:r>
            <w:r w:rsidRPr="00E83FB5">
              <w:rPr>
                <w:rFonts w:cs="Arial"/>
              </w:rPr>
              <w:t xml:space="preserve"> </w:t>
            </w:r>
          </w:p>
          <w:p w14:paraId="43FCDC6C" w14:textId="00FF0188" w:rsidR="00E83FB5" w:rsidRDefault="00FD6B05" w:rsidP="00E83FB5">
            <w:pPr>
              <w:pStyle w:val="HUDBody"/>
              <w:cnfStyle w:val="000000000000" w:firstRow="0" w:lastRow="0" w:firstColumn="0" w:lastColumn="0" w:oddVBand="0" w:evenVBand="0" w:oddHBand="0" w:evenHBand="0" w:firstRowFirstColumn="0" w:firstRowLastColumn="0" w:lastRowFirstColumn="0" w:lastRowLastColumn="0"/>
              <w:rPr>
                <w:rFonts w:cs="Arial"/>
              </w:rPr>
            </w:pPr>
            <w:hyperlink r:id="rId20" w:history="1">
              <w:r>
                <w:rPr>
                  <w:rStyle w:val="Hyperlink"/>
                  <w:rFonts w:cs="Arial"/>
                </w:rPr>
                <w:t>Youth payment (workandincome.govt.nz)</w:t>
              </w:r>
            </w:hyperlink>
          </w:p>
        </w:tc>
      </w:tr>
      <w:tr w:rsidR="00E83FB5" w14:paraId="0A5762AC" w14:textId="77777777" w:rsidTr="00E83FB5">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087F1E94" w14:textId="490BE9C3" w:rsidR="009D133B" w:rsidRPr="00E83FB5" w:rsidRDefault="00E83FB5" w:rsidP="00E83FB5">
            <w:pPr>
              <w:pStyle w:val="HUDBody"/>
              <w:rPr>
                <w:rFonts w:cs="Arial"/>
                <w:b w:val="0"/>
                <w:bCs/>
              </w:rPr>
            </w:pPr>
            <w:r w:rsidRPr="003639BD">
              <w:rPr>
                <w:rFonts w:cs="Arial"/>
                <w:bCs/>
              </w:rPr>
              <w:t>Note:</w:t>
            </w:r>
            <w:r w:rsidRPr="00FD6B05">
              <w:rPr>
                <w:rFonts w:cs="Arial"/>
                <w:b w:val="0"/>
                <w:bCs/>
              </w:rPr>
              <w:t xml:space="preserve"> </w:t>
            </w:r>
            <w:r w:rsidR="00E55658">
              <w:rPr>
                <w:rFonts w:cs="Arial"/>
                <w:b w:val="0"/>
                <w:bCs/>
              </w:rPr>
              <w:t>T</w:t>
            </w:r>
            <w:r w:rsidRPr="00E83FB5">
              <w:rPr>
                <w:rFonts w:cs="Arial"/>
                <w:b w:val="0"/>
                <w:bCs/>
              </w:rPr>
              <w:t xml:space="preserve">he residency and age criteria </w:t>
            </w:r>
            <w:r w:rsidR="00E55E0C" w:rsidRPr="00E83FB5">
              <w:rPr>
                <w:rFonts w:cs="Arial"/>
                <w:b w:val="0"/>
                <w:bCs/>
              </w:rPr>
              <w:t>considers</w:t>
            </w:r>
            <w:r w:rsidRPr="00E83FB5">
              <w:rPr>
                <w:rFonts w:cs="Arial"/>
                <w:b w:val="0"/>
                <w:bCs/>
              </w:rPr>
              <w:t xml:space="preserve"> all household members</w:t>
            </w:r>
            <w:r w:rsidR="00E55658">
              <w:rPr>
                <w:rFonts w:cs="Arial"/>
                <w:b w:val="0"/>
                <w:bCs/>
              </w:rPr>
              <w:t>, including</w:t>
            </w:r>
            <w:r w:rsidR="009D133B" w:rsidRPr="009D133B">
              <w:rPr>
                <w:rFonts w:cs="Arial"/>
                <w:b w:val="0"/>
                <w:bCs/>
              </w:rPr>
              <w:t xml:space="preserve"> adults and children. </w:t>
            </w:r>
            <w:r w:rsidR="00E55658">
              <w:rPr>
                <w:rFonts w:cs="Arial"/>
                <w:b w:val="0"/>
                <w:bCs/>
              </w:rPr>
              <w:t>I</w:t>
            </w:r>
            <w:r w:rsidR="009D133B" w:rsidRPr="009D133B">
              <w:rPr>
                <w:rFonts w:cs="Arial"/>
                <w:b w:val="0"/>
                <w:bCs/>
              </w:rPr>
              <w:t>f anyone in the household holds a community services card (for example, a child who qualifies by receiving the child disability allowance), the household will have automatic entitlement.</w:t>
            </w:r>
          </w:p>
          <w:p w14:paraId="08680391" w14:textId="6FF0AFA4" w:rsidR="00E83FB5" w:rsidRPr="00E83FB5" w:rsidRDefault="00E83FB5" w:rsidP="00E83FB5">
            <w:pPr>
              <w:pStyle w:val="HUDBody"/>
              <w:rPr>
                <w:rFonts w:cs="Arial"/>
                <w:b w:val="0"/>
                <w:bCs/>
              </w:rPr>
            </w:pPr>
            <w:r w:rsidRPr="00E83FB5">
              <w:rPr>
                <w:rFonts w:cs="Arial"/>
                <w:b w:val="0"/>
                <w:bCs/>
              </w:rPr>
              <w:t xml:space="preserve">Additional information can be found </w:t>
            </w:r>
            <w:r w:rsidR="00E55E0C">
              <w:rPr>
                <w:rFonts w:cs="Arial"/>
                <w:b w:val="0"/>
                <w:bCs/>
              </w:rPr>
              <w:t>on the Work and Income website.</w:t>
            </w:r>
          </w:p>
          <w:p w14:paraId="7EBF4217" w14:textId="07DF6671" w:rsidR="00E83FB5" w:rsidRDefault="00B04939" w:rsidP="00E83FB5">
            <w:pPr>
              <w:pStyle w:val="HUDBody"/>
              <w:rPr>
                <w:rFonts w:cs="Arial"/>
              </w:rPr>
            </w:pPr>
            <w:hyperlink r:id="rId21" w:history="1">
              <w:r>
                <w:rPr>
                  <w:rStyle w:val="Hyperlink"/>
                  <w:rFonts w:cs="Arial"/>
                  <w:b w:val="0"/>
                  <w:bCs/>
                </w:rPr>
                <w:t>Immediate emergency housing need – map (workandincome.govt.nz)</w:t>
              </w:r>
            </w:hyperlink>
          </w:p>
        </w:tc>
      </w:tr>
    </w:tbl>
    <w:p w14:paraId="13B60497" w14:textId="2F3A27EA" w:rsidR="00E83FB5" w:rsidRDefault="00E83FB5" w:rsidP="00E83FB5">
      <w:pPr>
        <w:pStyle w:val="HUDHeading2"/>
      </w:pPr>
      <w:bookmarkStart w:id="15" w:name="_Toc208995902"/>
      <w:r>
        <w:t xml:space="preserve">3.4 At the </w:t>
      </w:r>
      <w:r w:rsidR="00E55E0C">
        <w:t xml:space="preserve">start </w:t>
      </w:r>
      <w:r>
        <w:t>of a stay</w:t>
      </w:r>
      <w:bookmarkEnd w:id="15"/>
    </w:p>
    <w:p w14:paraId="06E930B6" w14:textId="43F5D091" w:rsidR="00E83FB5" w:rsidRPr="00E83FB5" w:rsidRDefault="00E83FB5" w:rsidP="00E83FB5">
      <w:pPr>
        <w:pStyle w:val="HUDBody"/>
        <w:rPr>
          <w:rFonts w:cs="Arial"/>
        </w:rPr>
      </w:pPr>
      <w:r w:rsidRPr="00E83FB5">
        <w:rPr>
          <w:rFonts w:cs="Arial"/>
        </w:rPr>
        <w:t xml:space="preserve">When a household enters your transitional housing service, explain their responsibilities </w:t>
      </w:r>
      <w:r w:rsidR="00E55E0C">
        <w:rPr>
          <w:rFonts w:cs="Arial"/>
        </w:rPr>
        <w:t>so</w:t>
      </w:r>
      <w:r w:rsidR="00E55E0C" w:rsidRPr="00E83FB5">
        <w:rPr>
          <w:rFonts w:cs="Arial"/>
        </w:rPr>
        <w:t xml:space="preserve"> </w:t>
      </w:r>
      <w:r w:rsidRPr="00E83FB5">
        <w:rPr>
          <w:rFonts w:cs="Arial"/>
        </w:rPr>
        <w:t>they understand what is required of them during their stay and arrange for the household to complete the following documents.</w:t>
      </w:r>
    </w:p>
    <w:p w14:paraId="3AFE609A" w14:textId="0C920A1D" w:rsidR="00E83FB5" w:rsidRPr="00E83FB5" w:rsidRDefault="00E83FB5" w:rsidP="005E21D3">
      <w:pPr>
        <w:pStyle w:val="HUDBullets"/>
      </w:pPr>
      <w:r w:rsidRPr="003639BD">
        <w:t>Housing agreement:</w:t>
      </w:r>
      <w:r w:rsidRPr="00E83FB5">
        <w:t xml:space="preserve"> see </w:t>
      </w:r>
      <w:r w:rsidR="00E55E0C">
        <w:t>a</w:t>
      </w:r>
      <w:r w:rsidRPr="00E83FB5">
        <w:t xml:space="preserve">ppendix </w:t>
      </w:r>
      <w:r w:rsidR="00E55E0C">
        <w:t>t</w:t>
      </w:r>
      <w:r w:rsidRPr="00E83FB5">
        <w:t>wo for housing agreement content requirements</w:t>
      </w:r>
      <w:r w:rsidR="00C24BD6">
        <w:t xml:space="preserve"> (</w:t>
      </w:r>
      <w:hyperlink w:anchor="AP2" w:history="1">
        <w:r w:rsidR="00C06329">
          <w:rPr>
            <w:rStyle w:val="Hyperlink"/>
          </w:rPr>
          <w:t>a</w:t>
        </w:r>
        <w:r w:rsidR="00E014C2" w:rsidRPr="00E014C2">
          <w:rPr>
            <w:rStyle w:val="Hyperlink"/>
          </w:rPr>
          <w:t>ppendix two</w:t>
        </w:r>
      </w:hyperlink>
      <w:r w:rsidR="00C24BD6">
        <w:t>).</w:t>
      </w:r>
    </w:p>
    <w:p w14:paraId="0CAD3020" w14:textId="5EF7AEB0" w:rsidR="005E21D3" w:rsidRPr="003639BD" w:rsidRDefault="00E55E0C" w:rsidP="00E83FB5">
      <w:pPr>
        <w:pStyle w:val="HUDBullets"/>
        <w:rPr>
          <w:rFonts w:cs="Arial"/>
        </w:rPr>
      </w:pPr>
      <w:r w:rsidRPr="003639BD">
        <w:t>Housing privacy consent form</w:t>
      </w:r>
      <w:r w:rsidR="00E83FB5" w:rsidRPr="005E21D3">
        <w:rPr>
          <w:b/>
          <w:bCs/>
        </w:rPr>
        <w:t>:</w:t>
      </w:r>
      <w:r w:rsidR="00E83FB5" w:rsidRPr="00E83FB5">
        <w:t xml:space="preserve"> this form authorises the sharing of household information between MSD, accommodation providers, housing support services and relevant government agencies to facilitate housing assistance. Submit this form </w:t>
      </w:r>
      <w:r>
        <w:t>in the</w:t>
      </w:r>
      <w:r w:rsidR="00E83FB5" w:rsidRPr="00E83FB5">
        <w:t xml:space="preserve"> THVM. Transitional housing providers may also have their own additional privacy forms that require completion as part of the intake process.</w:t>
      </w:r>
      <w:r w:rsidR="005E21D3">
        <w:t xml:space="preserve"> </w:t>
      </w:r>
    </w:p>
    <w:p w14:paraId="0AF10A57" w14:textId="31293C86" w:rsidR="00E83FB5" w:rsidRDefault="00E55E0C" w:rsidP="005E21D3">
      <w:pPr>
        <w:pStyle w:val="HUDBullets"/>
        <w:numPr>
          <w:ilvl w:val="0"/>
          <w:numId w:val="0"/>
        </w:numPr>
        <w:ind w:left="547"/>
        <w:rPr>
          <w:rFonts w:cs="Arial"/>
        </w:rPr>
      </w:pPr>
      <w:r>
        <w:rPr>
          <w:rFonts w:cs="Arial"/>
        </w:rPr>
        <w:t>T</w:t>
      </w:r>
      <w:r w:rsidR="00E83FB5" w:rsidRPr="005E21D3">
        <w:rPr>
          <w:rFonts w:cs="Arial"/>
        </w:rPr>
        <w:t xml:space="preserve">he </w:t>
      </w:r>
      <w:r w:rsidRPr="003639BD">
        <w:t>Privacy Act 2020</w:t>
      </w:r>
      <w:r w:rsidR="00E83FB5" w:rsidRPr="005E21D3">
        <w:rPr>
          <w:rFonts w:cs="Arial"/>
        </w:rPr>
        <w:t xml:space="preserve"> </w:t>
      </w:r>
      <w:r>
        <w:rPr>
          <w:rFonts w:cs="Arial"/>
        </w:rPr>
        <w:t>outlines</w:t>
      </w:r>
      <w:r w:rsidRPr="005E21D3">
        <w:rPr>
          <w:rFonts w:cs="Arial"/>
        </w:rPr>
        <w:t xml:space="preserve"> </w:t>
      </w:r>
      <w:r w:rsidR="00E83FB5" w:rsidRPr="005E21D3">
        <w:rPr>
          <w:rFonts w:cs="Arial"/>
        </w:rPr>
        <w:t>your responsibilities when collecting, storing, using and sharing personal information.</w:t>
      </w:r>
    </w:p>
    <w:p w14:paraId="5C26733C" w14:textId="49B93ED4" w:rsidR="00E83FB5" w:rsidRDefault="00E83FB5" w:rsidP="00E83FB5">
      <w:pPr>
        <w:pStyle w:val="HUDBody"/>
        <w:rPr>
          <w:rFonts w:cs="Arial"/>
        </w:rPr>
      </w:pPr>
      <w:r w:rsidRPr="00E83FB5">
        <w:rPr>
          <w:rFonts w:cs="Arial"/>
        </w:rPr>
        <w:t xml:space="preserve">MSD will notify you via </w:t>
      </w:r>
      <w:r w:rsidR="00E55E0C">
        <w:rPr>
          <w:rFonts w:cs="Arial"/>
        </w:rPr>
        <w:t xml:space="preserve">the </w:t>
      </w:r>
      <w:r w:rsidRPr="00E83FB5">
        <w:rPr>
          <w:rFonts w:cs="Arial"/>
        </w:rPr>
        <w:t>THVM that the forms have been accepted and will determine the household’s eligibility for assistance.</w:t>
      </w:r>
    </w:p>
    <w:p w14:paraId="3B0DF2D9" w14:textId="31943E15" w:rsidR="00B04939" w:rsidRDefault="00B04939" w:rsidP="003639BD">
      <w:pPr>
        <w:pStyle w:val="HUDBullets"/>
        <w:numPr>
          <w:ilvl w:val="0"/>
          <w:numId w:val="0"/>
        </w:numPr>
        <w:ind w:left="547" w:hanging="547"/>
        <w:rPr>
          <w:rFonts w:cs="Arial"/>
        </w:rPr>
      </w:pPr>
      <w:hyperlink r:id="rId22" w:history="1">
        <w:r w:rsidRPr="00E55E0C">
          <w:rPr>
            <w:rStyle w:val="Hyperlink"/>
          </w:rPr>
          <w:t>Housing privacy consent form</w:t>
        </w:r>
      </w:hyperlink>
      <w:r>
        <w:t xml:space="preserve"> (756KB, pdf)</w:t>
      </w:r>
    </w:p>
    <w:p w14:paraId="06AE9CCB" w14:textId="7FB3BE88" w:rsidR="00B04939" w:rsidRPr="00E83FB5" w:rsidRDefault="00B04939" w:rsidP="003639BD">
      <w:pPr>
        <w:pStyle w:val="HUDBullets"/>
        <w:numPr>
          <w:ilvl w:val="0"/>
          <w:numId w:val="0"/>
        </w:numPr>
        <w:ind w:left="547" w:hanging="547"/>
        <w:rPr>
          <w:rFonts w:cs="Arial"/>
        </w:rPr>
      </w:pPr>
      <w:hyperlink r:id="rId23" w:history="1">
        <w:r w:rsidRPr="00E55E0C">
          <w:rPr>
            <w:rStyle w:val="Hyperlink"/>
            <w:rFonts w:cs="Arial"/>
          </w:rPr>
          <w:t>Privacy Act 2020</w:t>
        </w:r>
      </w:hyperlink>
    </w:p>
    <w:p w14:paraId="4A1FB783" w14:textId="0A04B3CA" w:rsidR="00E83FB5" w:rsidRPr="00E83FB5" w:rsidRDefault="00E55E0C" w:rsidP="00DB73CD">
      <w:pPr>
        <w:pStyle w:val="HUDHeading3"/>
      </w:pPr>
      <w:bookmarkStart w:id="16" w:name="_Toc208995903"/>
      <w:r>
        <w:t>Household c</w:t>
      </w:r>
      <w:r w:rsidR="00E83FB5" w:rsidRPr="00E83FB5">
        <w:t>ontribution for transitional housing services</w:t>
      </w:r>
      <w:bookmarkEnd w:id="16"/>
    </w:p>
    <w:p w14:paraId="00CDFE54" w14:textId="77777777" w:rsidR="003410B8" w:rsidRDefault="00E83FB5" w:rsidP="00E83FB5">
      <w:pPr>
        <w:pStyle w:val="HUDBody"/>
        <w:rPr>
          <w:rFonts w:cs="Arial"/>
        </w:rPr>
      </w:pPr>
      <w:r w:rsidRPr="00E83FB5">
        <w:rPr>
          <w:rFonts w:cs="Arial"/>
        </w:rPr>
        <w:t>Households must contribut</w:t>
      </w:r>
      <w:r w:rsidR="00B04939">
        <w:rPr>
          <w:rFonts w:cs="Arial"/>
        </w:rPr>
        <w:t>e</w:t>
      </w:r>
      <w:r w:rsidRPr="00E83FB5">
        <w:rPr>
          <w:rFonts w:cs="Arial"/>
        </w:rPr>
        <w:t xml:space="preserve"> 25</w:t>
      </w:r>
      <w:r w:rsidR="00E55E0C">
        <w:rPr>
          <w:rFonts w:cs="Arial"/>
        </w:rPr>
        <w:t xml:space="preserve"> percent</w:t>
      </w:r>
      <w:r w:rsidRPr="00E83FB5">
        <w:rPr>
          <w:rFonts w:cs="Arial"/>
        </w:rPr>
        <w:t xml:space="preserve"> of their total income toward accommodation costs, up to a maximum of the applicable market rent for the property. </w:t>
      </w:r>
    </w:p>
    <w:p w14:paraId="6AC8C879" w14:textId="77777777" w:rsidR="003410B8" w:rsidRDefault="003410B8" w:rsidP="00E83FB5">
      <w:pPr>
        <w:pStyle w:val="HUDBody"/>
        <w:rPr>
          <w:rFonts w:cs="Arial"/>
        </w:rPr>
      </w:pPr>
    </w:p>
    <w:p w14:paraId="3DCFF9F3" w14:textId="79A284AD" w:rsidR="00E83FB5" w:rsidRPr="00E83FB5" w:rsidRDefault="00E83FB5" w:rsidP="00E83FB5">
      <w:pPr>
        <w:pStyle w:val="HUDBody"/>
        <w:rPr>
          <w:rFonts w:cs="Arial"/>
        </w:rPr>
      </w:pPr>
      <w:r w:rsidRPr="00E83FB5">
        <w:rPr>
          <w:rFonts w:cs="Arial"/>
        </w:rPr>
        <w:lastRenderedPageBreak/>
        <w:t>Th</w:t>
      </w:r>
      <w:r w:rsidR="00083AB3">
        <w:rPr>
          <w:rFonts w:cs="Arial"/>
        </w:rPr>
        <w:t>e</w:t>
      </w:r>
      <w:r w:rsidRPr="00E83FB5">
        <w:rPr>
          <w:rFonts w:cs="Arial"/>
        </w:rPr>
        <w:t xml:space="preserve"> contribution will be:</w:t>
      </w:r>
    </w:p>
    <w:p w14:paraId="6EB4C58D" w14:textId="36389962" w:rsidR="00E83FB5" w:rsidRPr="00E83FB5" w:rsidRDefault="00083AB3" w:rsidP="005E21D3">
      <w:pPr>
        <w:pStyle w:val="HUDBullets"/>
      </w:pPr>
      <w:r>
        <w:t>c</w:t>
      </w:r>
      <w:r w:rsidR="00E83FB5" w:rsidRPr="00E83FB5">
        <w:t xml:space="preserve">alculated by the </w:t>
      </w:r>
      <w:r>
        <w:t>p</w:t>
      </w:r>
      <w:r w:rsidR="00E83FB5" w:rsidRPr="00E83FB5">
        <w:t xml:space="preserve">rovider in accordance with the </w:t>
      </w:r>
      <w:r>
        <w:t>o</w:t>
      </w:r>
      <w:r w:rsidR="00E83FB5" w:rsidRPr="00E83FB5">
        <w:t xml:space="preserve">perational </w:t>
      </w:r>
      <w:r>
        <w:t>g</w:t>
      </w:r>
      <w:r w:rsidR="00E83FB5" w:rsidRPr="00E83FB5">
        <w:t>uidelines</w:t>
      </w:r>
    </w:p>
    <w:p w14:paraId="280BB01B" w14:textId="2069C44A" w:rsidR="00E83FB5" w:rsidRPr="00E83FB5" w:rsidRDefault="00083AB3" w:rsidP="005E21D3">
      <w:pPr>
        <w:pStyle w:val="HUDBullets"/>
      </w:pPr>
      <w:r>
        <w:t>r</w:t>
      </w:r>
      <w:r w:rsidR="00E83FB5" w:rsidRPr="00E83FB5">
        <w:t xml:space="preserve">ecalculated if the household experiences a </w:t>
      </w:r>
      <w:r>
        <w:t>c</w:t>
      </w:r>
      <w:r w:rsidR="00E83FB5" w:rsidRPr="00E83FB5">
        <w:t xml:space="preserve">hange in </w:t>
      </w:r>
      <w:r>
        <w:t>c</w:t>
      </w:r>
      <w:r w:rsidR="00E83FB5" w:rsidRPr="00E83FB5">
        <w:t>ircumstances</w:t>
      </w:r>
    </w:p>
    <w:p w14:paraId="636FB547" w14:textId="4958BF5D" w:rsidR="00E83FB5" w:rsidRPr="00E83FB5" w:rsidRDefault="00E83FB5" w:rsidP="005E21D3">
      <w:pPr>
        <w:pStyle w:val="HUDBullets"/>
      </w:pPr>
      <w:r w:rsidRPr="00E83FB5">
        <w:t xml:space="preserve">reduced in exceptional circumstances, at the </w:t>
      </w:r>
      <w:r w:rsidR="00083AB3">
        <w:t>p</w:t>
      </w:r>
      <w:r w:rsidRPr="00E83FB5">
        <w:t>rovider's discretion.</w:t>
      </w:r>
    </w:p>
    <w:p w14:paraId="07662972" w14:textId="3F521DEC" w:rsidR="00E83FB5" w:rsidRPr="00E83FB5" w:rsidRDefault="00E83FB5" w:rsidP="003639BD">
      <w:pPr>
        <w:pStyle w:val="HUDBody"/>
      </w:pPr>
      <w:r w:rsidRPr="00E83FB5">
        <w:rPr>
          <w:rFonts w:cs="Arial"/>
        </w:rPr>
        <w:t>When calculating contributions</w:t>
      </w:r>
      <w:r w:rsidR="00B04939">
        <w:rPr>
          <w:rFonts w:cs="Arial"/>
        </w:rPr>
        <w:t>,</w:t>
      </w:r>
      <w:r w:rsidR="00083AB3">
        <w:rPr>
          <w:rFonts w:cs="Arial"/>
        </w:rPr>
        <w:t xml:space="preserve"> </w:t>
      </w:r>
      <w:r w:rsidR="00083AB3">
        <w:t>c</w:t>
      </w:r>
      <w:r w:rsidRPr="00E83FB5">
        <w:t>hild support (from Inland Revenue or private arrangements) is treated as income.</w:t>
      </w:r>
    </w:p>
    <w:p w14:paraId="7550C03F" w14:textId="1B14D736" w:rsidR="00E83FB5" w:rsidRPr="00E83FB5" w:rsidRDefault="00E83FB5" w:rsidP="00E83FB5">
      <w:pPr>
        <w:pStyle w:val="HUDBody"/>
        <w:rPr>
          <w:rFonts w:cs="Arial"/>
        </w:rPr>
      </w:pPr>
      <w:r w:rsidRPr="00E83FB5">
        <w:rPr>
          <w:rFonts w:cs="Arial"/>
        </w:rPr>
        <w:t>Households must self-declare child support income to providers</w:t>
      </w:r>
      <w:r w:rsidR="00EE0FD4">
        <w:rPr>
          <w:rFonts w:cs="Arial"/>
        </w:rPr>
        <w:t xml:space="preserve">; </w:t>
      </w:r>
      <w:r w:rsidRPr="00E83FB5">
        <w:rPr>
          <w:rFonts w:cs="Arial"/>
        </w:rPr>
        <w:t>MSD cannot share this information due to privacy restrictions.</w:t>
      </w:r>
    </w:p>
    <w:p w14:paraId="35EC15D1" w14:textId="1943721F" w:rsidR="00E83FB5" w:rsidRPr="00E83FB5" w:rsidRDefault="00E83FB5" w:rsidP="00E83FB5">
      <w:pPr>
        <w:pStyle w:val="HUDBody"/>
        <w:rPr>
          <w:rFonts w:cs="Arial"/>
        </w:rPr>
      </w:pPr>
      <w:r w:rsidRPr="00E83FB5">
        <w:rPr>
          <w:rFonts w:cs="Arial"/>
        </w:rPr>
        <w:t xml:space="preserve">The instruction and examples around calculating contributions for clients in transitional housing are shown in </w:t>
      </w:r>
      <w:hyperlink w:anchor="AP3" w:history="1">
        <w:r w:rsidR="00B04939" w:rsidRPr="003167B8">
          <w:rPr>
            <w:rStyle w:val="Hyperlink"/>
            <w:rFonts w:cs="Arial"/>
          </w:rPr>
          <w:t>appendi</w:t>
        </w:r>
        <w:r w:rsidR="00B155DE" w:rsidRPr="003167B8">
          <w:rPr>
            <w:rStyle w:val="Hyperlink"/>
            <w:rFonts w:cs="Arial"/>
          </w:rPr>
          <w:t>x</w:t>
        </w:r>
        <w:r w:rsidRPr="003167B8">
          <w:rPr>
            <w:rStyle w:val="Hyperlink"/>
            <w:rFonts w:cs="Arial"/>
          </w:rPr>
          <w:t xml:space="preserve"> </w:t>
        </w:r>
        <w:r w:rsidR="00083AB3" w:rsidRPr="003167B8">
          <w:rPr>
            <w:rStyle w:val="Hyperlink"/>
            <w:rFonts w:cs="Arial"/>
          </w:rPr>
          <w:t>t</w:t>
        </w:r>
        <w:r w:rsidRPr="003167B8">
          <w:rPr>
            <w:rStyle w:val="Hyperlink"/>
            <w:rFonts w:cs="Arial"/>
          </w:rPr>
          <w:t>hree</w:t>
        </w:r>
      </w:hyperlink>
      <w:r w:rsidRPr="00E83FB5">
        <w:rPr>
          <w:rFonts w:cs="Arial"/>
        </w:rPr>
        <w:t xml:space="preserve"> and </w:t>
      </w:r>
      <w:hyperlink w:anchor="AP6" w:history="1">
        <w:r w:rsidR="00B155DE" w:rsidRPr="003167B8">
          <w:rPr>
            <w:rStyle w:val="Hyperlink"/>
            <w:rFonts w:cs="Arial"/>
          </w:rPr>
          <w:t xml:space="preserve">appendix </w:t>
        </w:r>
        <w:r w:rsidR="00083AB3" w:rsidRPr="003167B8">
          <w:rPr>
            <w:rStyle w:val="Hyperlink"/>
            <w:rFonts w:cs="Arial"/>
          </w:rPr>
          <w:t>s</w:t>
        </w:r>
        <w:r w:rsidRPr="003167B8">
          <w:rPr>
            <w:rStyle w:val="Hyperlink"/>
            <w:rFonts w:cs="Arial"/>
          </w:rPr>
          <w:t>ix</w:t>
        </w:r>
      </w:hyperlink>
      <w:r w:rsidRPr="00E83FB5">
        <w:rPr>
          <w:rFonts w:cs="Arial"/>
        </w:rPr>
        <w:t>.</w:t>
      </w:r>
    </w:p>
    <w:p w14:paraId="3D0DC02D" w14:textId="77777777" w:rsidR="00E83FB5" w:rsidRPr="00E83FB5" w:rsidRDefault="00E83FB5" w:rsidP="00DB73CD">
      <w:pPr>
        <w:pStyle w:val="HUDHeading3"/>
      </w:pPr>
      <w:bookmarkStart w:id="17" w:name="_Toc208995904"/>
      <w:r w:rsidRPr="00E83FB5">
        <w:t>Utilities and additional charges</w:t>
      </w:r>
      <w:bookmarkEnd w:id="17"/>
    </w:p>
    <w:p w14:paraId="5392629A" w14:textId="616189AE" w:rsidR="00E83FB5" w:rsidRPr="00E83FB5" w:rsidRDefault="00E83FB5" w:rsidP="00E83FB5">
      <w:pPr>
        <w:pStyle w:val="HUDBody"/>
        <w:rPr>
          <w:rFonts w:cs="Arial"/>
        </w:rPr>
      </w:pPr>
      <w:r w:rsidRPr="00E83FB5">
        <w:rPr>
          <w:rFonts w:cs="Arial"/>
        </w:rPr>
        <w:t xml:space="preserve">The </w:t>
      </w:r>
      <w:r w:rsidR="00083AB3">
        <w:rPr>
          <w:rFonts w:cs="Arial"/>
        </w:rPr>
        <w:t>p</w:t>
      </w:r>
      <w:r w:rsidRPr="00E83FB5">
        <w:rPr>
          <w:rFonts w:cs="Arial"/>
        </w:rPr>
        <w:t>rovider must:</w:t>
      </w:r>
    </w:p>
    <w:p w14:paraId="31DD8922" w14:textId="723F1EAC" w:rsidR="00E83FB5" w:rsidRPr="00E83FB5" w:rsidRDefault="00083AB3" w:rsidP="005E21D3">
      <w:pPr>
        <w:pStyle w:val="HUDBullets"/>
      </w:pPr>
      <w:r>
        <w:t>m</w:t>
      </w:r>
      <w:r w:rsidR="00E83FB5" w:rsidRPr="00E83FB5">
        <w:t>aintain a clear policy on charging for utilities (electricity, gas, water, telephone, internet)</w:t>
      </w:r>
    </w:p>
    <w:p w14:paraId="1AE2B95E" w14:textId="6E5F85F8" w:rsidR="00E83FB5" w:rsidRPr="00E83FB5" w:rsidRDefault="00083AB3" w:rsidP="005E21D3">
      <w:pPr>
        <w:pStyle w:val="HUDBullets"/>
      </w:pPr>
      <w:r>
        <w:t>c</w:t>
      </w:r>
      <w:r w:rsidR="00E83FB5" w:rsidRPr="00E83FB5">
        <w:t>ommunicate th</w:t>
      </w:r>
      <w:r w:rsidR="00B04939">
        <w:t>e</w:t>
      </w:r>
      <w:r w:rsidR="00E83FB5" w:rsidRPr="00E83FB5">
        <w:t xml:space="preserve"> policy to households and reference it in the </w:t>
      </w:r>
      <w:r>
        <w:t>h</w:t>
      </w:r>
      <w:r w:rsidR="00E83FB5" w:rsidRPr="00E83FB5">
        <w:t xml:space="preserve">ousing </w:t>
      </w:r>
      <w:r>
        <w:t>a</w:t>
      </w:r>
      <w:r w:rsidR="00E83FB5" w:rsidRPr="00E83FB5">
        <w:t>greement</w:t>
      </w:r>
    </w:p>
    <w:p w14:paraId="06EE00BA" w14:textId="5708CC6D" w:rsidR="00E83FB5" w:rsidRPr="00E83FB5" w:rsidRDefault="00083AB3" w:rsidP="005E21D3">
      <w:pPr>
        <w:pStyle w:val="HUDBullets"/>
      </w:pPr>
      <w:r>
        <w:t>e</w:t>
      </w:r>
      <w:r w:rsidR="00E83FB5" w:rsidRPr="00E83FB5">
        <w:t>xplain any additional charges for services like telephone, internet or laundry use</w:t>
      </w:r>
    </w:p>
    <w:p w14:paraId="56AEF4F0" w14:textId="568E474F" w:rsidR="00E83FB5" w:rsidRDefault="00083AB3" w:rsidP="005E21D3">
      <w:pPr>
        <w:pStyle w:val="HUDBullets"/>
      </w:pPr>
      <w:r>
        <w:t>n</w:t>
      </w:r>
      <w:r w:rsidR="00E83FB5" w:rsidRPr="00E83FB5">
        <w:t>ot charge fees to cover property rates, insurance premiums, body corporate levies or gas bottle hire.</w:t>
      </w:r>
    </w:p>
    <w:p w14:paraId="593784B2" w14:textId="77777777" w:rsidR="00B04939" w:rsidRDefault="00B04939" w:rsidP="003639BD">
      <w:pPr>
        <w:pStyle w:val="HUDBullets"/>
        <w:numPr>
          <w:ilvl w:val="0"/>
          <w:numId w:val="0"/>
        </w:numPr>
      </w:pPr>
    </w:p>
    <w:p w14:paraId="21F8FA7B" w14:textId="2B528B80" w:rsidR="00E83FB5" w:rsidRDefault="00E83FB5" w:rsidP="00E83FB5">
      <w:pPr>
        <w:pStyle w:val="HUDHeading1"/>
      </w:pPr>
      <w:bookmarkStart w:id="18" w:name="_Toc208995905"/>
      <w:r>
        <w:t xml:space="preserve">4.0 </w:t>
      </w:r>
      <w:r w:rsidR="00083AB3">
        <w:t>S</w:t>
      </w:r>
      <w:r>
        <w:t>upporting a transitional housing stay</w:t>
      </w:r>
      <w:bookmarkEnd w:id="18"/>
    </w:p>
    <w:p w14:paraId="5679623E" w14:textId="368B20C5" w:rsidR="00DB73CD" w:rsidRDefault="00DB73CD" w:rsidP="00DB73CD">
      <w:pPr>
        <w:pStyle w:val="HUDBody"/>
        <w:rPr>
          <w:rFonts w:cs="Arial"/>
        </w:rPr>
      </w:pPr>
      <w:r w:rsidRPr="00DB73CD">
        <w:rPr>
          <w:rFonts w:cs="Arial"/>
        </w:rPr>
        <w:t xml:space="preserve">You are expected to meet the responsibilities, standards and expectations set out in your services agreement with </w:t>
      </w:r>
      <w:r w:rsidR="00083AB3">
        <w:rPr>
          <w:rFonts w:cs="Arial"/>
        </w:rPr>
        <w:t>us</w:t>
      </w:r>
      <w:r w:rsidR="00083AB3" w:rsidRPr="00DB73CD">
        <w:rPr>
          <w:rFonts w:cs="Arial"/>
        </w:rPr>
        <w:t xml:space="preserve"> </w:t>
      </w:r>
      <w:r w:rsidRPr="00DB73CD">
        <w:rPr>
          <w:rFonts w:cs="Arial"/>
        </w:rPr>
        <w:t xml:space="preserve">and your housing agreement with the household. </w:t>
      </w:r>
    </w:p>
    <w:p w14:paraId="04B4E2DA" w14:textId="77777777" w:rsidR="00B04939" w:rsidRPr="00DB73CD" w:rsidRDefault="00B04939" w:rsidP="00DB73CD">
      <w:pPr>
        <w:pStyle w:val="HUDBody"/>
        <w:rPr>
          <w:rFonts w:cs="Arial"/>
        </w:rPr>
      </w:pPr>
    </w:p>
    <w:p w14:paraId="09BAD6F1" w14:textId="77777777" w:rsidR="00DB73CD" w:rsidRPr="00DB73CD" w:rsidRDefault="00DB73CD" w:rsidP="00DB73CD">
      <w:pPr>
        <w:pStyle w:val="HUDHeading1"/>
      </w:pPr>
      <w:bookmarkStart w:id="19" w:name="_Toc208995906"/>
      <w:r w:rsidRPr="00DB73CD">
        <w:t>4.1 Housing agreements</w:t>
      </w:r>
      <w:bookmarkEnd w:id="19"/>
    </w:p>
    <w:p w14:paraId="5FD49D09" w14:textId="1229EFFA" w:rsidR="00DB73CD" w:rsidRPr="00DB73CD" w:rsidRDefault="00DB73CD" w:rsidP="00DB73CD">
      <w:pPr>
        <w:pStyle w:val="HUDBody"/>
        <w:rPr>
          <w:rFonts w:cs="Arial"/>
        </w:rPr>
      </w:pPr>
      <w:r w:rsidRPr="00DB73CD">
        <w:rPr>
          <w:rFonts w:cs="Arial"/>
        </w:rPr>
        <w:t xml:space="preserve">The </w:t>
      </w:r>
      <w:r w:rsidR="00083AB3">
        <w:rPr>
          <w:rFonts w:cs="Arial"/>
        </w:rPr>
        <w:t>Residential Tenancies Act</w:t>
      </w:r>
      <w:r w:rsidR="00B04939">
        <w:rPr>
          <w:rFonts w:cs="Arial"/>
        </w:rPr>
        <w:t xml:space="preserve"> does not apply </w:t>
      </w:r>
      <w:r w:rsidRPr="00DB73CD">
        <w:rPr>
          <w:rFonts w:cs="Arial"/>
        </w:rPr>
        <w:t xml:space="preserve">to transitional housing. </w:t>
      </w:r>
      <w:r w:rsidR="00083AB3">
        <w:rPr>
          <w:rFonts w:cs="Arial"/>
        </w:rPr>
        <w:t>I</w:t>
      </w:r>
      <w:r w:rsidRPr="00DB73CD">
        <w:rPr>
          <w:rFonts w:cs="Arial"/>
        </w:rPr>
        <w:t>nstead of a tenancy agreement you must have a housing agreement with each household in your service, which complies with the requirements of your services agreement.</w:t>
      </w:r>
    </w:p>
    <w:p w14:paraId="7A995907" w14:textId="43454559" w:rsidR="00DB73CD" w:rsidRDefault="00DB73CD" w:rsidP="00DB73CD">
      <w:pPr>
        <w:pStyle w:val="HUDBody"/>
        <w:rPr>
          <w:rFonts w:cs="Arial"/>
        </w:rPr>
      </w:pPr>
      <w:r w:rsidRPr="00DB73CD">
        <w:rPr>
          <w:rFonts w:cs="Arial"/>
        </w:rPr>
        <w:t xml:space="preserve">You can use </w:t>
      </w:r>
      <w:r w:rsidR="00083AB3">
        <w:rPr>
          <w:rFonts w:cs="Arial"/>
        </w:rPr>
        <w:t xml:space="preserve">our </w:t>
      </w:r>
      <w:r w:rsidR="00083AB3" w:rsidRPr="003639BD">
        <w:t>example housing agreement</w:t>
      </w:r>
      <w:r w:rsidRPr="00DB73CD">
        <w:rPr>
          <w:rFonts w:cs="Arial"/>
        </w:rPr>
        <w:t xml:space="preserve"> to develop </w:t>
      </w:r>
      <w:r w:rsidR="00B04939">
        <w:rPr>
          <w:rFonts w:cs="Arial"/>
        </w:rPr>
        <w:t>an</w:t>
      </w:r>
      <w:r w:rsidRPr="00DB73CD">
        <w:rPr>
          <w:rFonts w:cs="Arial"/>
        </w:rPr>
        <w:t xml:space="preserve"> agreement suitable for your service and households. </w:t>
      </w:r>
    </w:p>
    <w:p w14:paraId="1F6C45DF" w14:textId="2D750D54" w:rsidR="00083AB3" w:rsidRPr="00DB73CD" w:rsidRDefault="00EE0FD4" w:rsidP="00DB73CD">
      <w:pPr>
        <w:pStyle w:val="HUDBody"/>
        <w:rPr>
          <w:rFonts w:cs="Arial"/>
        </w:rPr>
      </w:pPr>
      <w:hyperlink r:id="rId24" w:history="1">
        <w:r>
          <w:rPr>
            <w:rStyle w:val="Hyperlink"/>
            <w:rFonts w:cs="Arial"/>
          </w:rPr>
          <w:t>Example housing agreement (hud.govt.nz)</w:t>
        </w:r>
      </w:hyperlink>
      <w:r w:rsidR="00083AB3">
        <w:rPr>
          <w:rFonts w:cs="Arial"/>
        </w:rPr>
        <w:t xml:space="preserve"> </w:t>
      </w:r>
    </w:p>
    <w:p w14:paraId="67F95DEC" w14:textId="53823DF3" w:rsidR="00DB73CD" w:rsidRDefault="00083AB3" w:rsidP="00DB73CD">
      <w:pPr>
        <w:pStyle w:val="HUDBody"/>
        <w:rPr>
          <w:rFonts w:cs="Arial"/>
        </w:rPr>
      </w:pPr>
      <w:r>
        <w:rPr>
          <w:rFonts w:cs="Arial"/>
        </w:rPr>
        <w:lastRenderedPageBreak/>
        <w:t>A</w:t>
      </w:r>
      <w:r w:rsidR="00DB73CD" w:rsidRPr="00DB73CD">
        <w:rPr>
          <w:rFonts w:cs="Arial"/>
        </w:rPr>
        <w:t>ny programme or site-specific rules that you put in place must be able to be justified in accordance with the criteria laid out in your services agreement.</w:t>
      </w:r>
    </w:p>
    <w:p w14:paraId="32084FC7" w14:textId="77777777" w:rsidR="00B04939" w:rsidRPr="00DB73CD" w:rsidRDefault="00B04939" w:rsidP="00DB73CD">
      <w:pPr>
        <w:pStyle w:val="HUDBody"/>
        <w:rPr>
          <w:rFonts w:cs="Arial"/>
        </w:rPr>
      </w:pPr>
    </w:p>
    <w:p w14:paraId="649514A7" w14:textId="77777777" w:rsidR="00DB73CD" w:rsidRPr="00DB73CD" w:rsidRDefault="00DB73CD" w:rsidP="00DB73CD">
      <w:pPr>
        <w:pStyle w:val="HUDHeading1"/>
      </w:pPr>
      <w:bookmarkStart w:id="20" w:name="_Toc208995907"/>
      <w:r w:rsidRPr="00DB73CD">
        <w:t>4.2 Transition plan</w:t>
      </w:r>
      <w:bookmarkEnd w:id="20"/>
    </w:p>
    <w:p w14:paraId="4646366A" w14:textId="468F6C38" w:rsidR="00DB73CD" w:rsidRPr="00DB73CD" w:rsidRDefault="00DB73CD" w:rsidP="00DB73CD">
      <w:pPr>
        <w:pStyle w:val="HUDBody"/>
        <w:rPr>
          <w:rFonts w:cs="Arial"/>
        </w:rPr>
      </w:pPr>
      <w:r w:rsidRPr="00DB73CD">
        <w:rPr>
          <w:rFonts w:cs="Arial"/>
        </w:rPr>
        <w:t xml:space="preserve">While a household is in your service, you </w:t>
      </w:r>
      <w:r w:rsidR="00B04939">
        <w:rPr>
          <w:rFonts w:cs="Arial"/>
        </w:rPr>
        <w:t>must</w:t>
      </w:r>
      <w:r w:rsidRPr="00DB73CD">
        <w:rPr>
          <w:rFonts w:cs="Arial"/>
        </w:rPr>
        <w:t xml:space="preserve"> work with them to develop an individualised transition plan to help them and the members of their household to: </w:t>
      </w:r>
    </w:p>
    <w:p w14:paraId="0EA261FE" w14:textId="741568BD" w:rsidR="00DB73CD" w:rsidRPr="00DB73CD" w:rsidRDefault="00083AB3" w:rsidP="005E21D3">
      <w:pPr>
        <w:pStyle w:val="HUDBullets"/>
      </w:pPr>
      <w:r>
        <w:t>f</w:t>
      </w:r>
      <w:r w:rsidR="00DB73CD" w:rsidRPr="00DB73CD">
        <w:t>ind and secure appropriate sustainable housing</w:t>
      </w:r>
    </w:p>
    <w:p w14:paraId="06960CD1" w14:textId="23895DC4" w:rsidR="00DB73CD" w:rsidRPr="00DB73CD" w:rsidRDefault="00083AB3" w:rsidP="005E21D3">
      <w:pPr>
        <w:pStyle w:val="HUDBullets"/>
      </w:pPr>
      <w:r>
        <w:t>t</w:t>
      </w:r>
      <w:r w:rsidR="00DB73CD" w:rsidRPr="00DB73CD">
        <w:t>ransition into and maintain sustainable housing</w:t>
      </w:r>
    </w:p>
    <w:p w14:paraId="4576629A" w14:textId="67DEDEF9" w:rsidR="00DB73CD" w:rsidRPr="00DB73CD" w:rsidRDefault="00083AB3" w:rsidP="005E21D3">
      <w:pPr>
        <w:pStyle w:val="HUDBullets"/>
      </w:pPr>
      <w:r>
        <w:t>a</w:t>
      </w:r>
      <w:r w:rsidR="00DB73CD" w:rsidRPr="00DB73CD">
        <w:t xml:space="preserve">ccess appropriate support services to address any health, social, employment and financial needs.  </w:t>
      </w:r>
    </w:p>
    <w:p w14:paraId="69B17C05" w14:textId="77777777" w:rsidR="00DB73CD" w:rsidRPr="00DB73CD" w:rsidRDefault="00DB73CD" w:rsidP="00DB73CD">
      <w:pPr>
        <w:pStyle w:val="HUDBody"/>
        <w:rPr>
          <w:rFonts w:cs="Arial"/>
        </w:rPr>
      </w:pPr>
      <w:r w:rsidRPr="00DB73CD">
        <w:rPr>
          <w:rFonts w:cs="Arial"/>
        </w:rPr>
        <w:t xml:space="preserve">Individual transition plans must be developed within four weeks of a household entering your service. Each plan should: </w:t>
      </w:r>
    </w:p>
    <w:p w14:paraId="58EFAFFF" w14:textId="42AF3EFF" w:rsidR="00DB73CD" w:rsidRPr="00DB73CD" w:rsidRDefault="00083AB3" w:rsidP="005E21D3">
      <w:pPr>
        <w:pStyle w:val="HUDBullets"/>
      </w:pPr>
      <w:r>
        <w:t>b</w:t>
      </w:r>
      <w:r w:rsidR="00DB73CD" w:rsidRPr="00DB73CD">
        <w:t>e tailored to the household's needs and circumstances</w:t>
      </w:r>
    </w:p>
    <w:p w14:paraId="7E3F9DDA" w14:textId="0E1F06DE" w:rsidR="00DB73CD" w:rsidRPr="00DB73CD" w:rsidRDefault="00083AB3" w:rsidP="005E21D3">
      <w:pPr>
        <w:pStyle w:val="HUDBullets"/>
      </w:pPr>
      <w:r>
        <w:t>i</w:t>
      </w:r>
      <w:r w:rsidR="00DB73CD" w:rsidRPr="00DB73CD">
        <w:t>nclude clear, achievable actions with timeframes</w:t>
      </w:r>
    </w:p>
    <w:p w14:paraId="6997BAB0" w14:textId="475574AA" w:rsidR="00DB73CD" w:rsidRPr="00DB73CD" w:rsidRDefault="00083AB3" w:rsidP="005E21D3">
      <w:pPr>
        <w:pStyle w:val="HUDBullets"/>
      </w:pPr>
      <w:r>
        <w:t>i</w:t>
      </w:r>
      <w:r w:rsidR="00DB73CD" w:rsidRPr="00DB73CD">
        <w:t>dentify barriers to sustainable housing and strategies to address them</w:t>
      </w:r>
    </w:p>
    <w:p w14:paraId="7CE1F3EF" w14:textId="4E34CDB5" w:rsidR="00DB73CD" w:rsidRPr="00DB73CD" w:rsidRDefault="00083AB3" w:rsidP="005E21D3">
      <w:pPr>
        <w:pStyle w:val="HUDBullets"/>
      </w:pPr>
      <w:r>
        <w:t>s</w:t>
      </w:r>
      <w:r w:rsidR="00DB73CD" w:rsidRPr="00DB73CD">
        <w:t xml:space="preserve">pecify </w:t>
      </w:r>
      <w:r w:rsidR="00B04939">
        <w:t xml:space="preserve">the </w:t>
      </w:r>
      <w:r w:rsidR="00DB73CD" w:rsidRPr="00DB73CD">
        <w:t>support services needed and how they will be accessed</w:t>
      </w:r>
    </w:p>
    <w:p w14:paraId="03581DA6" w14:textId="40B17D42" w:rsidR="00DB73CD" w:rsidRPr="00DB73CD" w:rsidRDefault="00083AB3" w:rsidP="005E21D3">
      <w:pPr>
        <w:pStyle w:val="HUDBullets"/>
      </w:pPr>
      <w:r>
        <w:t>s</w:t>
      </w:r>
      <w:r w:rsidR="00DB73CD" w:rsidRPr="00DB73CD">
        <w:t>et measurable housing goals with defined steps.</w:t>
      </w:r>
    </w:p>
    <w:p w14:paraId="66762CAA" w14:textId="68916392" w:rsidR="00DB73CD" w:rsidRPr="00DB73CD" w:rsidRDefault="00DB73CD" w:rsidP="00DB73CD">
      <w:pPr>
        <w:pStyle w:val="HUDBody"/>
        <w:rPr>
          <w:rFonts w:cs="Arial"/>
        </w:rPr>
      </w:pPr>
      <w:r w:rsidRPr="00DB73CD">
        <w:rPr>
          <w:rFonts w:cs="Arial"/>
        </w:rPr>
        <w:t>A properly developed transition plan should include the</w:t>
      </w:r>
      <w:r w:rsidR="00083AB3">
        <w:rPr>
          <w:rFonts w:cs="Arial"/>
        </w:rPr>
        <w:t xml:space="preserve"> following</w:t>
      </w:r>
      <w:r w:rsidRPr="00DB73CD">
        <w:rPr>
          <w:rFonts w:cs="Arial"/>
        </w:rPr>
        <w:t xml:space="preserve"> key components</w:t>
      </w:r>
      <w:r w:rsidR="00083AB3">
        <w:rPr>
          <w:rFonts w:cs="Arial"/>
        </w:rPr>
        <w:t>.</w:t>
      </w:r>
      <w:r w:rsidRPr="00DB73CD">
        <w:rPr>
          <w:rFonts w:cs="Arial"/>
        </w:rPr>
        <w:t xml:space="preserve"> </w:t>
      </w:r>
    </w:p>
    <w:p w14:paraId="5E9C5AE9" w14:textId="77777777" w:rsidR="00DB73CD" w:rsidRPr="005E21D3" w:rsidRDefault="00DB73CD" w:rsidP="005E21D3">
      <w:pPr>
        <w:pStyle w:val="HUDHeading2"/>
      </w:pPr>
      <w:bookmarkStart w:id="21" w:name="_Toc208995908"/>
      <w:r w:rsidRPr="005E21D3">
        <w:t>Household assessment</w:t>
      </w:r>
      <w:bookmarkEnd w:id="21"/>
    </w:p>
    <w:p w14:paraId="2F587EBA" w14:textId="2CA5D53F" w:rsidR="00DB73CD" w:rsidRPr="00DB73CD" w:rsidRDefault="00DB73CD" w:rsidP="005E21D3">
      <w:pPr>
        <w:pStyle w:val="HUDBullets"/>
      </w:pPr>
      <w:r w:rsidRPr="00DB73CD">
        <w:t>Current housing situation and immediate needs</w:t>
      </w:r>
    </w:p>
    <w:p w14:paraId="7102767D" w14:textId="70F2995E" w:rsidR="00DB73CD" w:rsidRPr="00DB73CD" w:rsidRDefault="00DB73CD" w:rsidP="005E21D3">
      <w:pPr>
        <w:pStyle w:val="HUDBullets"/>
      </w:pPr>
      <w:r w:rsidRPr="00DB73CD">
        <w:t>Income and employment status</w:t>
      </w:r>
    </w:p>
    <w:p w14:paraId="0688A036" w14:textId="25F28FEE" w:rsidR="00DB73CD" w:rsidRPr="00DB73CD" w:rsidRDefault="00DB73CD" w:rsidP="005E21D3">
      <w:pPr>
        <w:pStyle w:val="HUDBullets"/>
      </w:pPr>
      <w:r w:rsidRPr="00DB73CD">
        <w:t>Support needs (health, social, financial)</w:t>
      </w:r>
    </w:p>
    <w:p w14:paraId="4276E267" w14:textId="65885CC6" w:rsidR="00DB73CD" w:rsidRPr="00DB73CD" w:rsidRDefault="00DB73CD" w:rsidP="005E21D3">
      <w:pPr>
        <w:pStyle w:val="HUDBullets"/>
      </w:pPr>
      <w:r w:rsidRPr="00DB73CD">
        <w:t>Housing history and barriers</w:t>
      </w:r>
    </w:p>
    <w:p w14:paraId="65D85864" w14:textId="3B5C046D" w:rsidR="00DB73CD" w:rsidRPr="005E21D3" w:rsidRDefault="00DB73CD" w:rsidP="005E21D3">
      <w:pPr>
        <w:pStyle w:val="HUDHeading2"/>
      </w:pPr>
      <w:bookmarkStart w:id="22" w:name="_Toc208995909"/>
      <w:r w:rsidRPr="005E21D3">
        <w:t xml:space="preserve">Housing </w:t>
      </w:r>
      <w:r w:rsidR="00083AB3">
        <w:t>g</w:t>
      </w:r>
      <w:r w:rsidRPr="005E21D3">
        <w:t>oals</w:t>
      </w:r>
      <w:bookmarkEnd w:id="22"/>
    </w:p>
    <w:p w14:paraId="37C3DF67" w14:textId="55DD0079" w:rsidR="00DB73CD" w:rsidRPr="00DB73CD" w:rsidRDefault="00DB73CD" w:rsidP="00083AB3">
      <w:pPr>
        <w:pStyle w:val="HUDBullets"/>
      </w:pPr>
      <w:r w:rsidRPr="00DB73CD">
        <w:t>Short-term accommodation plan</w:t>
      </w:r>
    </w:p>
    <w:p w14:paraId="705E3B8C" w14:textId="1A680AC9" w:rsidR="00DB73CD" w:rsidRPr="00DB73CD" w:rsidRDefault="00DB73CD" w:rsidP="00083AB3">
      <w:pPr>
        <w:pStyle w:val="HUDBullets"/>
      </w:pPr>
      <w:r w:rsidRPr="00DB73CD">
        <w:t>Long-term housing preferences and requirements</w:t>
      </w:r>
    </w:p>
    <w:p w14:paraId="6A1F4E7C" w14:textId="247278EB" w:rsidR="00DB73CD" w:rsidRPr="00DB73CD" w:rsidRDefault="00DB73CD" w:rsidP="00083AB3">
      <w:pPr>
        <w:pStyle w:val="HUDBullets"/>
      </w:pPr>
      <w:r w:rsidRPr="00DB73CD">
        <w:t>Affordability parameters</w:t>
      </w:r>
    </w:p>
    <w:p w14:paraId="4E12E927" w14:textId="5695962D" w:rsidR="00DB73CD" w:rsidRPr="00DB73CD" w:rsidRDefault="00DB73CD" w:rsidP="005E21D3">
      <w:pPr>
        <w:pStyle w:val="HUDHeading2"/>
      </w:pPr>
      <w:bookmarkStart w:id="23" w:name="_Toc208995910"/>
      <w:r w:rsidRPr="00DB73CD">
        <w:t xml:space="preserve">Action </w:t>
      </w:r>
      <w:r w:rsidR="00083AB3">
        <w:t>p</w:t>
      </w:r>
      <w:r w:rsidRPr="00DB73CD">
        <w:t>lan</w:t>
      </w:r>
      <w:bookmarkEnd w:id="23"/>
    </w:p>
    <w:p w14:paraId="46874B8B" w14:textId="7EC4FBF6" w:rsidR="00DB73CD" w:rsidRPr="00DB73CD" w:rsidRDefault="00DB73CD" w:rsidP="00083AB3">
      <w:pPr>
        <w:pStyle w:val="HUDBullets"/>
      </w:pPr>
      <w:r w:rsidRPr="00DB73CD">
        <w:t>Specific tasks for the household</w:t>
      </w:r>
    </w:p>
    <w:p w14:paraId="4F69ED2F" w14:textId="66031436" w:rsidR="00DB73CD" w:rsidRPr="00DB73CD" w:rsidRDefault="00DB73CD" w:rsidP="00083AB3">
      <w:pPr>
        <w:pStyle w:val="HUDBullets"/>
      </w:pPr>
      <w:r w:rsidRPr="00DB73CD">
        <w:lastRenderedPageBreak/>
        <w:t>Specific tasks for the provider</w:t>
      </w:r>
    </w:p>
    <w:p w14:paraId="2DBD0E2D" w14:textId="1F2B4199" w:rsidR="00DB73CD" w:rsidRPr="00DB73CD" w:rsidRDefault="00DB73CD" w:rsidP="00083AB3">
      <w:pPr>
        <w:pStyle w:val="HUDBullets"/>
      </w:pPr>
      <w:r w:rsidRPr="00DB73CD">
        <w:t>Timeline for completion</w:t>
      </w:r>
    </w:p>
    <w:p w14:paraId="48D58F9E" w14:textId="59804639" w:rsidR="00DB73CD" w:rsidRPr="00DB73CD" w:rsidRDefault="00DB73CD" w:rsidP="00083AB3">
      <w:pPr>
        <w:pStyle w:val="HUDBullets"/>
      </w:pPr>
      <w:r w:rsidRPr="00DB73CD">
        <w:t xml:space="preserve">Required external agency referrals </w:t>
      </w:r>
    </w:p>
    <w:p w14:paraId="43F36DE0" w14:textId="2912E907" w:rsidR="00DB73CD" w:rsidRPr="00DB73CD" w:rsidRDefault="00DB73CD" w:rsidP="005E21D3">
      <w:pPr>
        <w:pStyle w:val="HUDHeading2"/>
      </w:pPr>
      <w:bookmarkStart w:id="24" w:name="_Toc208995911"/>
      <w:r w:rsidRPr="00DB73CD">
        <w:t xml:space="preserve">Progress </w:t>
      </w:r>
      <w:r w:rsidR="00083AB3">
        <w:t>m</w:t>
      </w:r>
      <w:r w:rsidRPr="00DB73CD">
        <w:t>onitoring</w:t>
      </w:r>
      <w:bookmarkEnd w:id="24"/>
    </w:p>
    <w:p w14:paraId="6CCAFD2B" w14:textId="6257FC6A" w:rsidR="00DB73CD" w:rsidRPr="00DB73CD" w:rsidRDefault="00DB73CD" w:rsidP="00083AB3">
      <w:pPr>
        <w:pStyle w:val="HUDBullets"/>
      </w:pPr>
      <w:r w:rsidRPr="00DB73CD">
        <w:t>Regular review dates</w:t>
      </w:r>
    </w:p>
    <w:p w14:paraId="425F4FCF" w14:textId="647B64F8" w:rsidR="00DB73CD" w:rsidRPr="00DB73CD" w:rsidRDefault="00DB73CD" w:rsidP="00083AB3">
      <w:pPr>
        <w:pStyle w:val="HUDBullets"/>
      </w:pPr>
      <w:r w:rsidRPr="00DB73CD">
        <w:t>Success indicators</w:t>
      </w:r>
    </w:p>
    <w:p w14:paraId="5D859555" w14:textId="6CDD5E99" w:rsidR="00DB73CD" w:rsidRDefault="00DB73CD" w:rsidP="00083AB3">
      <w:pPr>
        <w:pStyle w:val="HUDBullets"/>
      </w:pPr>
      <w:r w:rsidRPr="00DB73CD">
        <w:t xml:space="preserve">Contingency plans </w:t>
      </w:r>
    </w:p>
    <w:p w14:paraId="5BFE9C5A" w14:textId="77777777" w:rsidR="00B04939" w:rsidRPr="00DB73CD" w:rsidRDefault="00B04939" w:rsidP="003639BD">
      <w:pPr>
        <w:pStyle w:val="HUDBullets"/>
        <w:numPr>
          <w:ilvl w:val="0"/>
          <w:numId w:val="0"/>
        </w:numPr>
      </w:pPr>
    </w:p>
    <w:p w14:paraId="68BED59D" w14:textId="77777777" w:rsidR="00DB73CD" w:rsidRPr="00DB73CD" w:rsidRDefault="00DB73CD" w:rsidP="00DB73CD">
      <w:pPr>
        <w:pStyle w:val="HUDHeading1"/>
      </w:pPr>
      <w:bookmarkStart w:id="25" w:name="_Toc208995912"/>
      <w:r w:rsidRPr="00DB73CD">
        <w:t>4.3 Safety and wellbeing</w:t>
      </w:r>
      <w:bookmarkEnd w:id="25"/>
      <w:r w:rsidRPr="00DB73CD">
        <w:t xml:space="preserve"> </w:t>
      </w:r>
    </w:p>
    <w:p w14:paraId="7C15CBE9" w14:textId="77777777" w:rsidR="00DB73CD" w:rsidRPr="00DB73CD" w:rsidRDefault="00DB73CD" w:rsidP="00DB73CD">
      <w:pPr>
        <w:pStyle w:val="HUDHeading2"/>
      </w:pPr>
      <w:bookmarkStart w:id="26" w:name="_Toc208995913"/>
      <w:r w:rsidRPr="00DB73CD">
        <w:t>Health and safety framework</w:t>
      </w:r>
      <w:bookmarkEnd w:id="26"/>
    </w:p>
    <w:p w14:paraId="6B3CAEB7" w14:textId="76960641" w:rsidR="00DB73CD" w:rsidRDefault="00DB73CD" w:rsidP="00DB73CD">
      <w:pPr>
        <w:pStyle w:val="HUDBody"/>
        <w:rPr>
          <w:rFonts w:cs="Arial"/>
        </w:rPr>
      </w:pPr>
      <w:r w:rsidRPr="00DB73CD">
        <w:rPr>
          <w:rFonts w:cs="Arial"/>
        </w:rPr>
        <w:t xml:space="preserve">Providers must have a health and safety framework that is compliant with all aspects of the </w:t>
      </w:r>
      <w:r w:rsidR="00557C18" w:rsidRPr="003639BD">
        <w:t>Health and Safety at Work Act 2015</w:t>
      </w:r>
      <w:r w:rsidRPr="00DB73CD">
        <w:rPr>
          <w:rFonts w:cs="Arial"/>
        </w:rPr>
        <w:t xml:space="preserve">. </w:t>
      </w:r>
    </w:p>
    <w:p w14:paraId="02A2F914" w14:textId="2B476BD0" w:rsidR="00557C18" w:rsidRPr="00DB73CD" w:rsidRDefault="00B04939" w:rsidP="00DB73CD">
      <w:pPr>
        <w:pStyle w:val="HUDBody"/>
        <w:rPr>
          <w:rFonts w:cs="Arial"/>
        </w:rPr>
      </w:pPr>
      <w:hyperlink r:id="rId25" w:history="1">
        <w:r>
          <w:rPr>
            <w:rStyle w:val="Hyperlink"/>
            <w:rFonts w:cs="Arial"/>
          </w:rPr>
          <w:t>Health and Safety at Work Act 2015 (legislation.govt.nz)</w:t>
        </w:r>
      </w:hyperlink>
    </w:p>
    <w:p w14:paraId="1207931A" w14:textId="77777777" w:rsidR="00DB73CD" w:rsidRPr="00DB73CD" w:rsidRDefault="00DB73CD" w:rsidP="00DB73CD">
      <w:pPr>
        <w:pStyle w:val="HUDBody"/>
        <w:rPr>
          <w:rFonts w:cs="Arial"/>
        </w:rPr>
      </w:pPr>
      <w:r w:rsidRPr="00DB73CD">
        <w:rPr>
          <w:rFonts w:cs="Arial"/>
        </w:rPr>
        <w:t>For transitional housing, this means identifying and understanding what health and safety risks may arise from the delivery of your service, and who those risks can affect (such as staff, contractors, agents, households and on-site visitors). It then involves doing what is reasonable and practicable to eliminate or minimise those risks. This includes, but is not limited to:</w:t>
      </w:r>
    </w:p>
    <w:p w14:paraId="47A30038" w14:textId="696026C8" w:rsidR="00DB73CD" w:rsidRPr="00DB73CD" w:rsidRDefault="00557C18" w:rsidP="005E21D3">
      <w:pPr>
        <w:pStyle w:val="HUDBullets"/>
      </w:pPr>
      <w:r>
        <w:t>making</w:t>
      </w:r>
      <w:r w:rsidR="00DB73CD" w:rsidRPr="00DB73CD">
        <w:t xml:space="preserve"> accommodation safe, warm and dry</w:t>
      </w:r>
    </w:p>
    <w:p w14:paraId="674C80E7" w14:textId="6C1A639E" w:rsidR="00E83FB5" w:rsidRDefault="00557C18" w:rsidP="005E21D3">
      <w:pPr>
        <w:pStyle w:val="HUDBullets"/>
      </w:pPr>
      <w:r>
        <w:t>a</w:t>
      </w:r>
      <w:r w:rsidR="00DB73CD" w:rsidRPr="00DB73CD">
        <w:t>ddressing antisocial behaviours before they escalate</w:t>
      </w:r>
    </w:p>
    <w:p w14:paraId="53F8EB7C" w14:textId="21D3DB0B" w:rsidR="00DB73CD" w:rsidRPr="00DB73CD" w:rsidRDefault="00557C18" w:rsidP="005E21D3">
      <w:pPr>
        <w:pStyle w:val="HUDBullets"/>
      </w:pPr>
      <w:r>
        <w:t>p</w:t>
      </w:r>
      <w:r w:rsidR="00DB73CD" w:rsidRPr="00DB73CD">
        <w:t>olice vetting for existing and new personnel</w:t>
      </w:r>
      <w:r w:rsidR="00DB73CD">
        <w:rPr>
          <w:rStyle w:val="FootnoteReference"/>
          <w:rFonts w:cs="Arial"/>
        </w:rPr>
        <w:footnoteReference w:id="2"/>
      </w:r>
    </w:p>
    <w:p w14:paraId="0F6EE6EA" w14:textId="6E8B5060" w:rsidR="00DB73CD" w:rsidRPr="00DB73CD" w:rsidRDefault="00557C18" w:rsidP="005E21D3">
      <w:pPr>
        <w:pStyle w:val="HUDBullets"/>
      </w:pPr>
      <w:r>
        <w:t>r</w:t>
      </w:r>
      <w:r w:rsidR="00DB73CD" w:rsidRPr="00DB73CD">
        <w:t>isk identification, prevention and management</w:t>
      </w:r>
    </w:p>
    <w:p w14:paraId="2C9D63F1" w14:textId="7197655D" w:rsidR="00DB73CD" w:rsidRPr="00DB73CD" w:rsidRDefault="00557C18" w:rsidP="005E21D3">
      <w:pPr>
        <w:pStyle w:val="HUDBullets"/>
      </w:pPr>
      <w:r>
        <w:t>i</w:t>
      </w:r>
      <w:r w:rsidR="00DB73CD" w:rsidRPr="00DB73CD">
        <w:t>ncident reporting and investigation processes.</w:t>
      </w:r>
    </w:p>
    <w:p w14:paraId="2D0FF296" w14:textId="58188F9A" w:rsidR="00DB73CD" w:rsidRPr="00DB73CD" w:rsidRDefault="00DB73CD" w:rsidP="00DB73CD">
      <w:pPr>
        <w:pStyle w:val="HUDHeading2"/>
      </w:pPr>
      <w:bookmarkStart w:id="27" w:name="_Toc208995914"/>
      <w:r w:rsidRPr="00DB73CD">
        <w:t xml:space="preserve">Reporting </w:t>
      </w:r>
      <w:r w:rsidR="00557C18">
        <w:t>r</w:t>
      </w:r>
      <w:r w:rsidRPr="00DB73CD">
        <w:t>equirements</w:t>
      </w:r>
      <w:bookmarkEnd w:id="27"/>
    </w:p>
    <w:p w14:paraId="57DA3CC2" w14:textId="34E60670" w:rsidR="00DB73CD" w:rsidRPr="00DB73CD" w:rsidRDefault="00DB73CD" w:rsidP="002530CF">
      <w:pPr>
        <w:pStyle w:val="HUDHeading3"/>
      </w:pPr>
      <w:bookmarkStart w:id="28" w:name="_Toc208995915"/>
      <w:r w:rsidRPr="00DB73CD">
        <w:t>Class 2 (</w:t>
      </w:r>
      <w:r w:rsidR="00557C18">
        <w:t>h</w:t>
      </w:r>
      <w:r w:rsidRPr="00DB73CD">
        <w:t>igh</w:t>
      </w:r>
      <w:r w:rsidR="00557C18">
        <w:t xml:space="preserve"> or e</w:t>
      </w:r>
      <w:r w:rsidRPr="00DB73CD">
        <w:t>xtreme</w:t>
      </w:r>
      <w:r>
        <w:rPr>
          <w:rStyle w:val="FootnoteReference"/>
          <w:rFonts w:cs="Arial"/>
        </w:rPr>
        <w:footnoteReference w:id="3"/>
      </w:r>
      <w:r w:rsidRPr="00DB73CD">
        <w:t xml:space="preserve">) </w:t>
      </w:r>
      <w:r w:rsidR="00557C18">
        <w:t>i</w:t>
      </w:r>
      <w:r w:rsidRPr="00DB73CD">
        <w:t>ncidents</w:t>
      </w:r>
      <w:bookmarkEnd w:id="28"/>
    </w:p>
    <w:p w14:paraId="6A59B744" w14:textId="6AA2BABA" w:rsidR="00DB73CD" w:rsidRPr="00DB73CD" w:rsidRDefault="00DB73CD" w:rsidP="00DB73CD">
      <w:pPr>
        <w:pStyle w:val="HUDBody"/>
        <w:rPr>
          <w:rFonts w:cs="Arial"/>
        </w:rPr>
      </w:pPr>
      <w:r w:rsidRPr="00DB73CD">
        <w:rPr>
          <w:rFonts w:cs="Arial"/>
        </w:rPr>
        <w:t xml:space="preserve">You must notify </w:t>
      </w:r>
      <w:r w:rsidR="00557C18">
        <w:rPr>
          <w:rFonts w:cs="Arial"/>
        </w:rPr>
        <w:t>us</w:t>
      </w:r>
      <w:r w:rsidR="00557C18" w:rsidRPr="00DB73CD">
        <w:rPr>
          <w:rFonts w:cs="Arial"/>
        </w:rPr>
        <w:t xml:space="preserve"> </w:t>
      </w:r>
      <w:r w:rsidRPr="00DB73CD">
        <w:rPr>
          <w:rFonts w:cs="Arial"/>
        </w:rPr>
        <w:t xml:space="preserve">immediately of any </w:t>
      </w:r>
      <w:r w:rsidR="00557C18">
        <w:rPr>
          <w:rFonts w:cs="Arial"/>
        </w:rPr>
        <w:t>c</w:t>
      </w:r>
      <w:r w:rsidRPr="00DB73CD">
        <w:rPr>
          <w:rFonts w:cs="Arial"/>
        </w:rPr>
        <w:t>lass 2 incidents, which include:</w:t>
      </w:r>
    </w:p>
    <w:p w14:paraId="0ED88EE9" w14:textId="2AAFA792" w:rsidR="00DB73CD" w:rsidRPr="00DB73CD" w:rsidRDefault="00557C18" w:rsidP="005E21D3">
      <w:pPr>
        <w:pStyle w:val="HUDBullets"/>
      </w:pPr>
      <w:r>
        <w:lastRenderedPageBreak/>
        <w:t>d</w:t>
      </w:r>
      <w:r w:rsidR="00DB73CD" w:rsidRPr="00DB73CD">
        <w:t>eath</w:t>
      </w:r>
    </w:p>
    <w:p w14:paraId="24EF4701" w14:textId="553EC6AC" w:rsidR="00DB73CD" w:rsidRPr="00DB73CD" w:rsidRDefault="00557C18" w:rsidP="005E21D3">
      <w:pPr>
        <w:pStyle w:val="HUDBullets"/>
      </w:pPr>
      <w:r>
        <w:t>s</w:t>
      </w:r>
      <w:r w:rsidR="00DB73CD" w:rsidRPr="00DB73CD">
        <w:t>erious harm or potential serious harm to staff</w:t>
      </w:r>
      <w:r>
        <w:t xml:space="preserve">, </w:t>
      </w:r>
      <w:r w:rsidR="00DB73CD" w:rsidRPr="00DB73CD">
        <w:t>households</w:t>
      </w:r>
      <w:r>
        <w:t xml:space="preserve"> or </w:t>
      </w:r>
      <w:r w:rsidR="00DB73CD" w:rsidRPr="00DB73CD">
        <w:t>others</w:t>
      </w:r>
    </w:p>
    <w:p w14:paraId="0A83BA59" w14:textId="34B4D3B0" w:rsidR="00DB73CD" w:rsidRPr="00DB73CD" w:rsidRDefault="00557C18" w:rsidP="005E21D3">
      <w:pPr>
        <w:pStyle w:val="HUDBullets"/>
      </w:pPr>
      <w:r>
        <w:t>s</w:t>
      </w:r>
      <w:r w:rsidR="00DB73CD" w:rsidRPr="00DB73CD">
        <w:t>ignificant violence</w:t>
      </w:r>
    </w:p>
    <w:p w14:paraId="7A9098A8" w14:textId="170BE1B6" w:rsidR="00DB73CD" w:rsidRPr="00DB73CD" w:rsidRDefault="00557C18" w:rsidP="005E21D3">
      <w:pPr>
        <w:pStyle w:val="HUDBullets"/>
      </w:pPr>
      <w:r>
        <w:t>s</w:t>
      </w:r>
      <w:r w:rsidR="00DB73CD" w:rsidRPr="00DB73CD">
        <w:t>erious threats of violence</w:t>
      </w:r>
    </w:p>
    <w:p w14:paraId="183D6B4E" w14:textId="280F08DA" w:rsidR="00DB73CD" w:rsidRPr="00DB73CD" w:rsidRDefault="00557C18" w:rsidP="005E21D3">
      <w:pPr>
        <w:pStyle w:val="HUDBullets"/>
      </w:pPr>
      <w:r>
        <w:t>s</w:t>
      </w:r>
      <w:r w:rsidR="00DB73CD" w:rsidRPr="00DB73CD">
        <w:t>taff misconduct that poses safety risks</w:t>
      </w:r>
    </w:p>
    <w:p w14:paraId="074A55FF" w14:textId="3F9514C1" w:rsidR="00DB73CD" w:rsidRPr="00DB73CD" w:rsidRDefault="00557C18" w:rsidP="005E21D3">
      <w:pPr>
        <w:pStyle w:val="HUDBullets"/>
      </w:pPr>
      <w:r>
        <w:t>i</w:t>
      </w:r>
      <w:r w:rsidR="00DB73CD" w:rsidRPr="00DB73CD">
        <w:t>ncidents requiring emergency services or WorkSafe involvement</w:t>
      </w:r>
      <w:r w:rsidR="00B04939">
        <w:t>.</w:t>
      </w:r>
    </w:p>
    <w:p w14:paraId="49D1D620" w14:textId="50C19413" w:rsidR="00DB73CD" w:rsidRPr="00DB73CD" w:rsidRDefault="00DB73CD" w:rsidP="002530CF">
      <w:pPr>
        <w:pStyle w:val="HUDHeading3"/>
      </w:pPr>
      <w:bookmarkStart w:id="29" w:name="_Toc208995916"/>
      <w:r w:rsidRPr="00DB73CD">
        <w:t>Class 1 (</w:t>
      </w:r>
      <w:r w:rsidR="00557C18">
        <w:t>l</w:t>
      </w:r>
      <w:r w:rsidRPr="00DB73CD">
        <w:t>ow</w:t>
      </w:r>
      <w:r w:rsidR="00557C18">
        <w:t xml:space="preserve"> or m</w:t>
      </w:r>
      <w:r w:rsidRPr="00DB73CD">
        <w:t>oderate</w:t>
      </w:r>
      <w:r>
        <w:rPr>
          <w:rStyle w:val="FootnoteReference"/>
          <w:rFonts w:cs="Arial"/>
        </w:rPr>
        <w:footnoteReference w:id="4"/>
      </w:r>
      <w:r w:rsidRPr="00DB73CD">
        <w:t xml:space="preserve">) </w:t>
      </w:r>
      <w:r w:rsidR="00557C18">
        <w:t>i</w:t>
      </w:r>
      <w:r w:rsidRPr="00DB73CD">
        <w:t>ncidents</w:t>
      </w:r>
      <w:bookmarkEnd w:id="29"/>
    </w:p>
    <w:p w14:paraId="12107633" w14:textId="56B6D1B1" w:rsidR="00DB73CD" w:rsidRPr="00DB73CD" w:rsidRDefault="00DB73CD" w:rsidP="005E21D3">
      <w:pPr>
        <w:pStyle w:val="HUDBullets"/>
      </w:pPr>
      <w:r w:rsidRPr="00DB73CD">
        <w:t>These incidents should be recorded internally.</w:t>
      </w:r>
    </w:p>
    <w:p w14:paraId="1C933D93" w14:textId="6D290AA1" w:rsidR="00DB73CD" w:rsidRPr="00DB73CD" w:rsidRDefault="00DB73CD" w:rsidP="005E21D3">
      <w:pPr>
        <w:pStyle w:val="HUDBullets"/>
      </w:pPr>
      <w:r w:rsidRPr="00DB73CD">
        <w:t xml:space="preserve">Summary information about </w:t>
      </w:r>
      <w:r w:rsidR="00557C18">
        <w:t>c</w:t>
      </w:r>
      <w:r w:rsidRPr="00DB73CD">
        <w:t>lass 1 incidents should be included in your regular provider reports during relationship meetings.</w:t>
      </w:r>
    </w:p>
    <w:p w14:paraId="57ADE8F9" w14:textId="5EE739BA" w:rsidR="00DB73CD" w:rsidRPr="00DB73CD" w:rsidRDefault="00DB73CD" w:rsidP="005E21D3">
      <w:pPr>
        <w:pStyle w:val="HUDBullets"/>
      </w:pPr>
      <w:r w:rsidRPr="00DB73CD">
        <w:t>This should include the number of incidents by type and any emerging trends.</w:t>
      </w:r>
    </w:p>
    <w:p w14:paraId="45CF779E" w14:textId="7118DC64" w:rsidR="00DB73CD" w:rsidRPr="00DB73CD" w:rsidRDefault="00DB73CD" w:rsidP="002530CF">
      <w:pPr>
        <w:pStyle w:val="HUDHeading3"/>
      </w:pPr>
      <w:bookmarkStart w:id="30" w:name="_Toc208995917"/>
      <w:r w:rsidRPr="00DB73CD">
        <w:t xml:space="preserve">How to </w:t>
      </w:r>
      <w:r w:rsidR="00557C18">
        <w:t>r</w:t>
      </w:r>
      <w:r w:rsidRPr="00DB73CD">
        <w:t xml:space="preserve">eport </w:t>
      </w:r>
      <w:r w:rsidR="00557C18">
        <w:t>i</w:t>
      </w:r>
      <w:r w:rsidRPr="00DB73CD">
        <w:t>ncidents</w:t>
      </w:r>
      <w:bookmarkEnd w:id="30"/>
    </w:p>
    <w:p w14:paraId="1D518555" w14:textId="3FA8565C" w:rsidR="00202DB0" w:rsidRPr="00DB73CD" w:rsidRDefault="00EE0FD4" w:rsidP="00202DB0">
      <w:pPr>
        <w:pStyle w:val="HUDBody"/>
      </w:pPr>
      <w:r>
        <w:t>E</w:t>
      </w:r>
      <w:r w:rsidR="00DB73CD" w:rsidRPr="00DB73CD">
        <w:t xml:space="preserve">mail an </w:t>
      </w:r>
      <w:r w:rsidR="00557C18">
        <w:t>i</w:t>
      </w:r>
      <w:r w:rsidR="00DB73CD" w:rsidRPr="00DB73CD">
        <w:t xml:space="preserve">ncident and </w:t>
      </w:r>
      <w:r w:rsidR="00557C18">
        <w:t>e</w:t>
      </w:r>
      <w:r w:rsidR="00DB73CD" w:rsidRPr="00DB73CD">
        <w:t xml:space="preserve">vent report to </w:t>
      </w:r>
      <w:r w:rsidR="00557C18">
        <w:t>us</w:t>
      </w:r>
      <w:r w:rsidR="00DB73CD" w:rsidRPr="00DB73CD">
        <w:t xml:space="preserve"> using the template in </w:t>
      </w:r>
      <w:hyperlink w:anchor="AP4" w:history="1">
        <w:r w:rsidR="00202DB0">
          <w:rPr>
            <w:rStyle w:val="Hyperlink"/>
          </w:rPr>
          <w:t>a</w:t>
        </w:r>
        <w:r w:rsidR="00202DB0" w:rsidRPr="005D0DF4">
          <w:rPr>
            <w:rStyle w:val="Hyperlink"/>
          </w:rPr>
          <w:t>ppendix four</w:t>
        </w:r>
      </w:hyperlink>
    </w:p>
    <w:p w14:paraId="432CB619" w14:textId="3805DFEA" w:rsidR="00DB73CD" w:rsidRDefault="00DB73CD">
      <w:pPr>
        <w:pStyle w:val="HUDBody"/>
      </w:pPr>
      <w:r w:rsidRPr="00DB73CD">
        <w:t xml:space="preserve">to </w:t>
      </w:r>
      <w:hyperlink r:id="rId26" w:history="1">
        <w:r w:rsidR="002530CF" w:rsidRPr="0064100B">
          <w:rPr>
            <w:rStyle w:val="Hyperlink"/>
            <w:rFonts w:cs="Arial"/>
          </w:rPr>
          <w:t>incidents@hud.govt.nz</w:t>
        </w:r>
      </w:hyperlink>
      <w:r w:rsidR="002530CF">
        <w:t xml:space="preserve">. </w:t>
      </w:r>
    </w:p>
    <w:p w14:paraId="2552C4C9" w14:textId="6E084A7A" w:rsidR="00DB73CD" w:rsidRPr="003639BD" w:rsidRDefault="00DB73CD" w:rsidP="003639BD">
      <w:pPr>
        <w:pStyle w:val="HUDHeading4"/>
        <w:rPr>
          <w:b w:val="0"/>
        </w:rPr>
      </w:pPr>
      <w:r w:rsidRPr="003639BD">
        <w:t xml:space="preserve">Important </w:t>
      </w:r>
      <w:r w:rsidR="00557C18" w:rsidRPr="003639BD">
        <w:t>c</w:t>
      </w:r>
      <w:r w:rsidRPr="003639BD">
        <w:t>onsiderations</w:t>
      </w:r>
    </w:p>
    <w:p w14:paraId="7354157A" w14:textId="7CBBB709" w:rsidR="00DB73CD" w:rsidRPr="00DB73CD" w:rsidRDefault="00DB73CD" w:rsidP="005E21D3">
      <w:pPr>
        <w:pStyle w:val="HUDBullets"/>
      </w:pPr>
      <w:r w:rsidRPr="00DB73CD">
        <w:t xml:space="preserve">Do not include incident details in the body of emails </w:t>
      </w:r>
      <w:r w:rsidR="00557C18">
        <w:t>–</w:t>
      </w:r>
      <w:r w:rsidRPr="00DB73CD">
        <w:t xml:space="preserve"> only use the </w:t>
      </w:r>
      <w:r w:rsidR="00557C18">
        <w:t>i</w:t>
      </w:r>
      <w:r w:rsidRPr="00DB73CD">
        <w:t xml:space="preserve">ncident and </w:t>
      </w:r>
      <w:r w:rsidR="00557C18">
        <w:t>e</w:t>
      </w:r>
      <w:r w:rsidRPr="00DB73CD">
        <w:t xml:space="preserve">vent template. </w:t>
      </w:r>
    </w:p>
    <w:p w14:paraId="7BC8EDF1" w14:textId="4C41D3A0" w:rsidR="00DB73CD" w:rsidRPr="00DB73CD" w:rsidRDefault="00DB73CD" w:rsidP="005E21D3">
      <w:pPr>
        <w:pStyle w:val="HUDBullets"/>
      </w:pPr>
      <w:r w:rsidRPr="00DB73CD">
        <w:t>Do not include any personal information about the individuals involved.</w:t>
      </w:r>
    </w:p>
    <w:p w14:paraId="665D23DF" w14:textId="56682FBC" w:rsidR="00DB73CD" w:rsidRPr="00DB73CD" w:rsidRDefault="00DB73CD" w:rsidP="005E21D3">
      <w:pPr>
        <w:pStyle w:val="HUDBullets"/>
      </w:pPr>
      <w:r w:rsidRPr="00DB73CD">
        <w:t>Call emergency services first for life-threatening situations.</w:t>
      </w:r>
    </w:p>
    <w:p w14:paraId="1E35FC74" w14:textId="1EFD7839" w:rsidR="00DB73CD" w:rsidRDefault="00557C18" w:rsidP="005E21D3">
      <w:pPr>
        <w:pStyle w:val="HUDBullets"/>
      </w:pPr>
      <w:r w:rsidRPr="003639BD">
        <w:t>Check if WorkSafe</w:t>
      </w:r>
      <w:r w:rsidR="00DB73CD" w:rsidRPr="00DB73CD">
        <w:t xml:space="preserve"> needs to be notified and follow the notification process</w:t>
      </w:r>
      <w:r>
        <w:t xml:space="preserve"> on their website</w:t>
      </w:r>
      <w:r w:rsidR="00DB73CD" w:rsidRPr="00DB73CD">
        <w:t>.</w:t>
      </w:r>
    </w:p>
    <w:p w14:paraId="5F9AB405" w14:textId="77777777" w:rsidR="00EF0B8F" w:rsidRDefault="00DB73CD" w:rsidP="00EF0B8F">
      <w:pPr>
        <w:pStyle w:val="HUDBullets"/>
      </w:pPr>
      <w:r w:rsidRPr="00DB73CD">
        <w:t>Report incidents as soon as possible, or within two business days of the incident occurring</w:t>
      </w:r>
      <w:r w:rsidR="00557C18">
        <w:t>,</w:t>
      </w:r>
      <w:r w:rsidRPr="00DB73CD">
        <w:t xml:space="preserve"> with explanation for any delay.</w:t>
      </w:r>
    </w:p>
    <w:p w14:paraId="05008C2B" w14:textId="19D370CA" w:rsidR="00DB73CD" w:rsidRDefault="00DB73CD" w:rsidP="00EF0B8F">
      <w:pPr>
        <w:pStyle w:val="HUDBullets"/>
      </w:pPr>
      <w:r w:rsidRPr="00DB73CD">
        <w:t xml:space="preserve">You may report non-life-threatening incidents and events using your own reporting methods or the template developed by </w:t>
      </w:r>
      <w:r w:rsidR="00557C18">
        <w:t>us</w:t>
      </w:r>
      <w:r w:rsidR="00557C18" w:rsidRPr="00DB73CD">
        <w:t xml:space="preserve"> </w:t>
      </w:r>
      <w:r w:rsidRPr="00DB73CD">
        <w:t xml:space="preserve">(see </w:t>
      </w:r>
      <w:hyperlink w:anchor="AP4" w:history="1">
        <w:r w:rsidR="00EF0B8F">
          <w:rPr>
            <w:rStyle w:val="Hyperlink"/>
          </w:rPr>
          <w:t>a</w:t>
        </w:r>
        <w:r w:rsidR="00EF0B8F" w:rsidRPr="005D0DF4">
          <w:rPr>
            <w:rStyle w:val="Hyperlink"/>
          </w:rPr>
          <w:t>ppendix four</w:t>
        </w:r>
      </w:hyperlink>
      <w:r w:rsidRPr="00DB73CD">
        <w:t>).</w:t>
      </w:r>
    </w:p>
    <w:p w14:paraId="369FDF00" w14:textId="5A2CB4C6" w:rsidR="00B04939" w:rsidRPr="00DB73CD" w:rsidRDefault="00B04939" w:rsidP="003639BD">
      <w:pPr>
        <w:pStyle w:val="HUDBullets"/>
        <w:numPr>
          <w:ilvl w:val="0"/>
          <w:numId w:val="0"/>
        </w:numPr>
      </w:pPr>
      <w:hyperlink r:id="rId27" w:history="1">
        <w:r>
          <w:rPr>
            <w:rStyle w:val="Hyperlink"/>
          </w:rPr>
          <w:t>Notify Worksafe (worksafe.govt.nz)</w:t>
        </w:r>
      </w:hyperlink>
    </w:p>
    <w:p w14:paraId="0C0D2F52" w14:textId="77777777" w:rsidR="00EF0B8F" w:rsidRDefault="00EF0B8F" w:rsidP="002530CF">
      <w:pPr>
        <w:pStyle w:val="HUDHeading3"/>
      </w:pPr>
      <w:bookmarkStart w:id="31" w:name="_Toc208995918"/>
    </w:p>
    <w:p w14:paraId="6CA60849" w14:textId="77777777" w:rsidR="00EF0B8F" w:rsidRDefault="00EF0B8F" w:rsidP="002530CF">
      <w:pPr>
        <w:pStyle w:val="HUDHeading3"/>
      </w:pPr>
    </w:p>
    <w:p w14:paraId="010DF87C" w14:textId="70DD161B" w:rsidR="00DB73CD" w:rsidRPr="00DB73CD" w:rsidRDefault="00DB73CD" w:rsidP="002530CF">
      <w:pPr>
        <w:pStyle w:val="HUDHeading3"/>
      </w:pPr>
      <w:r w:rsidRPr="00DB73CD">
        <w:lastRenderedPageBreak/>
        <w:t xml:space="preserve">Child </w:t>
      </w:r>
      <w:r w:rsidR="00557C18">
        <w:t>p</w:t>
      </w:r>
      <w:r w:rsidRPr="00DB73CD">
        <w:t xml:space="preserve">rotection policy requirements for </w:t>
      </w:r>
      <w:r w:rsidR="00557C18">
        <w:t>p</w:t>
      </w:r>
      <w:r w:rsidRPr="00DB73CD">
        <w:t>roviders</w:t>
      </w:r>
      <w:bookmarkEnd w:id="31"/>
    </w:p>
    <w:p w14:paraId="10025CA1" w14:textId="77777777" w:rsidR="00DB73CD" w:rsidRPr="003639BD" w:rsidRDefault="00DB73CD" w:rsidP="003639BD">
      <w:pPr>
        <w:pStyle w:val="HUDHeading4"/>
        <w:rPr>
          <w:b w:val="0"/>
        </w:rPr>
      </w:pPr>
      <w:r w:rsidRPr="003639BD">
        <w:t>Legal requirements</w:t>
      </w:r>
    </w:p>
    <w:p w14:paraId="47654CBF" w14:textId="0C8EDDC3" w:rsidR="00DB73CD" w:rsidRDefault="00DB73CD" w:rsidP="00DB73CD">
      <w:pPr>
        <w:pStyle w:val="HUDBody"/>
        <w:rPr>
          <w:rFonts w:cs="Arial"/>
        </w:rPr>
      </w:pPr>
      <w:r w:rsidRPr="006E6C45">
        <w:rPr>
          <w:rFonts w:cs="Arial"/>
        </w:rPr>
        <w:t>If you provide children’s services in accordance with the Children’s Act 2014</w:t>
      </w:r>
      <w:r w:rsidRPr="00DB73CD">
        <w:rPr>
          <w:rFonts w:cs="Arial"/>
        </w:rPr>
        <w:t xml:space="preserve"> (including where MSD gives notice to you that in the opinion of the MSD’s Chief Executive, you are providing children’s services), you must:</w:t>
      </w:r>
    </w:p>
    <w:p w14:paraId="7E6C918E" w14:textId="6A263C4E" w:rsidR="002530CF" w:rsidRPr="002530CF" w:rsidRDefault="00A9447D" w:rsidP="005E21D3">
      <w:pPr>
        <w:pStyle w:val="HUDBullets"/>
      </w:pPr>
      <w:r>
        <w:t>a</w:t>
      </w:r>
      <w:r w:rsidR="002530CF" w:rsidRPr="002530CF">
        <w:t>s soon as practicable, adopt a child protection policy that complies with section 19 of the Children’s Act 2014</w:t>
      </w:r>
    </w:p>
    <w:p w14:paraId="2618E2BC" w14:textId="6E9F8472" w:rsidR="002530CF" w:rsidRPr="002530CF" w:rsidRDefault="00A9447D" w:rsidP="005E21D3">
      <w:pPr>
        <w:pStyle w:val="HUDBullets"/>
      </w:pPr>
      <w:r>
        <w:t>r</w:t>
      </w:r>
      <w:r w:rsidR="002530CF" w:rsidRPr="002530CF">
        <w:t xml:space="preserve">eview </w:t>
      </w:r>
      <w:r w:rsidR="006E6C45">
        <w:t xml:space="preserve">your policy </w:t>
      </w:r>
      <w:r w:rsidR="002530CF" w:rsidRPr="002530CF">
        <w:t>in accordance with section 16(a)(iii) of the Children’s Act 2014</w:t>
      </w:r>
    </w:p>
    <w:p w14:paraId="23BEFA60" w14:textId="081C4190" w:rsidR="002530CF" w:rsidRPr="002530CF" w:rsidRDefault="00A9447D" w:rsidP="005E21D3">
      <w:pPr>
        <w:pStyle w:val="HUDBullets"/>
      </w:pPr>
      <w:r>
        <w:t>m</w:t>
      </w:r>
      <w:r w:rsidR="002530CF" w:rsidRPr="002530CF">
        <w:t>ake a copy of your child protection policy available to MSD, including any updates</w:t>
      </w:r>
    </w:p>
    <w:p w14:paraId="7097F190" w14:textId="3F0BE5B0" w:rsidR="002530CF" w:rsidRPr="002530CF" w:rsidRDefault="00A9447D" w:rsidP="005E21D3">
      <w:pPr>
        <w:pStyle w:val="HUDBullets"/>
      </w:pPr>
      <w:r>
        <w:t>i</w:t>
      </w:r>
      <w:r w:rsidR="002530CF" w:rsidRPr="002530CF">
        <w:t>mplement your child protection policy.</w:t>
      </w:r>
    </w:p>
    <w:p w14:paraId="101B2677" w14:textId="6E174829" w:rsidR="002530CF" w:rsidRPr="002530CF" w:rsidRDefault="002530CF" w:rsidP="002530CF">
      <w:pPr>
        <w:pStyle w:val="HUDHeading3"/>
      </w:pPr>
      <w:bookmarkStart w:id="32" w:name="_Toc208995919"/>
      <w:r w:rsidRPr="002530CF">
        <w:t xml:space="preserve">Your </w:t>
      </w:r>
      <w:r w:rsidR="00A9447D">
        <w:t>c</w:t>
      </w:r>
      <w:r w:rsidRPr="002530CF">
        <w:t xml:space="preserve">hild </w:t>
      </w:r>
      <w:r w:rsidR="00A9447D">
        <w:t>p</w:t>
      </w:r>
      <w:r w:rsidRPr="002530CF">
        <w:t>rotection policy obligations</w:t>
      </w:r>
      <w:bookmarkEnd w:id="32"/>
    </w:p>
    <w:p w14:paraId="7C9F4E29" w14:textId="65E7810C" w:rsidR="002530CF" w:rsidRPr="002530CF" w:rsidRDefault="002530CF" w:rsidP="002530CF">
      <w:pPr>
        <w:pStyle w:val="HUDBody"/>
        <w:rPr>
          <w:rFonts w:cs="Arial"/>
        </w:rPr>
      </w:pPr>
      <w:r w:rsidRPr="002530CF">
        <w:rPr>
          <w:rFonts w:cs="Arial"/>
        </w:rPr>
        <w:t xml:space="preserve">As a provider receiving funding from </w:t>
      </w:r>
      <w:r w:rsidR="00A9447D">
        <w:rPr>
          <w:rFonts w:cs="Arial"/>
        </w:rPr>
        <w:t>us</w:t>
      </w:r>
      <w:r w:rsidRPr="002530CF">
        <w:rPr>
          <w:rFonts w:cs="Arial"/>
        </w:rPr>
        <w:t>, you must</w:t>
      </w:r>
      <w:r w:rsidR="00A9447D">
        <w:rPr>
          <w:rFonts w:cs="Arial"/>
        </w:rPr>
        <w:t xml:space="preserve"> follow these steps.</w:t>
      </w:r>
    </w:p>
    <w:p w14:paraId="7D32FEF5" w14:textId="541E6FFB" w:rsidR="005E21D3" w:rsidRDefault="002530CF" w:rsidP="002530CF">
      <w:pPr>
        <w:pStyle w:val="HUDList"/>
        <w:numPr>
          <w:ilvl w:val="0"/>
          <w:numId w:val="4"/>
        </w:numPr>
        <w:ind w:left="540" w:hanging="540"/>
      </w:pPr>
      <w:r w:rsidRPr="003639BD">
        <w:t xml:space="preserve">Adopt a </w:t>
      </w:r>
      <w:r w:rsidR="00A9447D">
        <w:t>c</w:t>
      </w:r>
      <w:r w:rsidRPr="003639BD">
        <w:t xml:space="preserve">hild </w:t>
      </w:r>
      <w:r w:rsidR="00A9447D">
        <w:t>p</w:t>
      </w:r>
      <w:r w:rsidRPr="003639BD">
        <w:t xml:space="preserve">rotection </w:t>
      </w:r>
      <w:r w:rsidR="00A9447D">
        <w:t>p</w:t>
      </w:r>
      <w:r w:rsidRPr="003639BD">
        <w:t>olicy</w:t>
      </w:r>
      <w:r w:rsidRPr="002530CF">
        <w:t xml:space="preserve"> that: </w:t>
      </w:r>
    </w:p>
    <w:p w14:paraId="55688B3F" w14:textId="4F217723" w:rsidR="005E21D3" w:rsidRPr="005E21D3" w:rsidRDefault="00A9447D" w:rsidP="005E21D3">
      <w:pPr>
        <w:pStyle w:val="HUDList"/>
        <w:numPr>
          <w:ilvl w:val="1"/>
          <w:numId w:val="4"/>
        </w:numPr>
        <w:ind w:left="1080" w:hanging="540"/>
      </w:pPr>
      <w:r>
        <w:rPr>
          <w:rFonts w:cs="Arial"/>
        </w:rPr>
        <w:t>a</w:t>
      </w:r>
      <w:r w:rsidR="002530CF" w:rsidRPr="005E21D3">
        <w:rPr>
          <w:rFonts w:cs="Arial"/>
        </w:rPr>
        <w:t>pplies specifically to the children's services your organisation provides</w:t>
      </w:r>
    </w:p>
    <w:p w14:paraId="2FE2A8FB" w14:textId="3DDC71FA" w:rsidR="005E21D3" w:rsidRPr="005E21D3" w:rsidRDefault="00A9447D" w:rsidP="005E21D3">
      <w:pPr>
        <w:pStyle w:val="HUDList"/>
        <w:numPr>
          <w:ilvl w:val="1"/>
          <w:numId w:val="4"/>
        </w:numPr>
        <w:ind w:left="1080" w:hanging="540"/>
      </w:pPr>
      <w:r>
        <w:rPr>
          <w:rFonts w:cs="Arial"/>
        </w:rPr>
        <w:t>c</w:t>
      </w:r>
      <w:r w:rsidR="002530CF" w:rsidRPr="005E21D3">
        <w:rPr>
          <w:rFonts w:cs="Arial"/>
        </w:rPr>
        <w:t>ontains provisions for identifying and reporting child abuse and neglect in accordance with section 15 of the Oranga Tamariki Act 1989</w:t>
      </w:r>
    </w:p>
    <w:p w14:paraId="2FCD038E" w14:textId="4D0D5258" w:rsidR="002530CF" w:rsidRPr="005E21D3" w:rsidRDefault="00A9447D" w:rsidP="005E21D3">
      <w:pPr>
        <w:pStyle w:val="HUDList"/>
        <w:numPr>
          <w:ilvl w:val="1"/>
          <w:numId w:val="4"/>
        </w:numPr>
        <w:ind w:left="1080" w:hanging="540"/>
      </w:pPr>
      <w:r>
        <w:rPr>
          <w:rFonts w:cs="Arial"/>
        </w:rPr>
        <w:t>o</w:t>
      </w:r>
      <w:r w:rsidR="002530CF" w:rsidRPr="005E21D3">
        <w:rPr>
          <w:rFonts w:cs="Arial"/>
        </w:rPr>
        <w:t>utlines clear processes for staff to follow when concerns arise.</w:t>
      </w:r>
    </w:p>
    <w:p w14:paraId="2C7ACBDF" w14:textId="74E3C948" w:rsidR="005E21D3" w:rsidRDefault="002530CF" w:rsidP="002530CF">
      <w:pPr>
        <w:pStyle w:val="HUDNumberedbullets"/>
      </w:pPr>
      <w:r w:rsidRPr="003639BD">
        <w:t xml:space="preserve">Make </w:t>
      </w:r>
      <w:r w:rsidR="00A9447D">
        <w:t>y</w:t>
      </w:r>
      <w:r w:rsidRPr="003639BD">
        <w:t xml:space="preserve">our </w:t>
      </w:r>
      <w:r w:rsidR="00A9447D">
        <w:t>p</w:t>
      </w:r>
      <w:r w:rsidRPr="003639BD">
        <w:t xml:space="preserve">olicy </w:t>
      </w:r>
      <w:r w:rsidR="00A9447D">
        <w:t>a</w:t>
      </w:r>
      <w:r w:rsidRPr="003639BD">
        <w:t>ccessible</w:t>
      </w:r>
      <w:r w:rsidRPr="002530CF">
        <w:t xml:space="preserve"> by: </w:t>
      </w:r>
    </w:p>
    <w:p w14:paraId="5CE59C97" w14:textId="61104F96" w:rsidR="005E21D3" w:rsidRPr="005E21D3" w:rsidRDefault="00A9447D" w:rsidP="005E21D3">
      <w:pPr>
        <w:pStyle w:val="HUDList"/>
        <w:numPr>
          <w:ilvl w:val="1"/>
          <w:numId w:val="4"/>
        </w:numPr>
        <w:ind w:left="1080" w:hanging="540"/>
        <w:rPr>
          <w:rFonts w:cs="Arial"/>
        </w:rPr>
      </w:pPr>
      <w:r>
        <w:rPr>
          <w:rFonts w:cs="Arial"/>
        </w:rPr>
        <w:t>p</w:t>
      </w:r>
      <w:r w:rsidR="002530CF" w:rsidRPr="005E21D3">
        <w:rPr>
          <w:rFonts w:cs="Arial"/>
        </w:rPr>
        <w:t>ublishing it on your organisation's website</w:t>
      </w:r>
    </w:p>
    <w:p w14:paraId="1B1AF072" w14:textId="6B3103E1" w:rsidR="005E21D3" w:rsidRPr="005E21D3" w:rsidRDefault="00A9447D" w:rsidP="005E21D3">
      <w:pPr>
        <w:pStyle w:val="HUDList"/>
        <w:numPr>
          <w:ilvl w:val="1"/>
          <w:numId w:val="4"/>
        </w:numPr>
        <w:ind w:left="1080" w:hanging="540"/>
        <w:rPr>
          <w:rFonts w:cs="Arial"/>
        </w:rPr>
      </w:pPr>
      <w:r>
        <w:rPr>
          <w:rFonts w:cs="Arial"/>
        </w:rPr>
        <w:t>m</w:t>
      </w:r>
      <w:r w:rsidR="002530CF" w:rsidRPr="005E21D3">
        <w:rPr>
          <w:rFonts w:cs="Arial"/>
        </w:rPr>
        <w:t>aking it available to staff, volunteers and families using your service.</w:t>
      </w:r>
    </w:p>
    <w:p w14:paraId="7CCD19BF" w14:textId="7314A039" w:rsidR="005E21D3" w:rsidRDefault="002530CF" w:rsidP="005E21D3">
      <w:pPr>
        <w:pStyle w:val="HUDList"/>
        <w:numPr>
          <w:ilvl w:val="0"/>
          <w:numId w:val="4"/>
        </w:numPr>
        <w:ind w:left="540" w:hanging="540"/>
      </w:pPr>
      <w:r w:rsidRPr="003639BD">
        <w:t xml:space="preserve">Regularly </w:t>
      </w:r>
      <w:r w:rsidR="00A9447D">
        <w:t>r</w:t>
      </w:r>
      <w:r w:rsidRPr="003639BD">
        <w:t xml:space="preserve">eview </w:t>
      </w:r>
      <w:r w:rsidR="00A9447D">
        <w:t>y</w:t>
      </w:r>
      <w:r w:rsidRPr="003639BD">
        <w:t xml:space="preserve">our </w:t>
      </w:r>
      <w:r w:rsidR="00A9447D">
        <w:t>p</w:t>
      </w:r>
      <w:r w:rsidRPr="003639BD">
        <w:t>olicy</w:t>
      </w:r>
      <w:r w:rsidRPr="005E21D3">
        <w:t xml:space="preserve">: </w:t>
      </w:r>
    </w:p>
    <w:p w14:paraId="47998262" w14:textId="18550F77" w:rsidR="005E21D3" w:rsidRPr="005E21D3" w:rsidRDefault="00A9447D" w:rsidP="005E21D3">
      <w:pPr>
        <w:pStyle w:val="HUDList"/>
        <w:numPr>
          <w:ilvl w:val="1"/>
          <w:numId w:val="4"/>
        </w:numPr>
        <w:ind w:left="1080" w:hanging="540"/>
        <w:rPr>
          <w:rFonts w:cs="Arial"/>
        </w:rPr>
      </w:pPr>
      <w:r>
        <w:rPr>
          <w:rFonts w:cs="Arial"/>
        </w:rPr>
        <w:t>a</w:t>
      </w:r>
      <w:r w:rsidR="002530CF" w:rsidRPr="005E21D3">
        <w:rPr>
          <w:rFonts w:cs="Arial"/>
        </w:rPr>
        <w:t>t least once every three years from the date of adoption</w:t>
      </w:r>
    </w:p>
    <w:p w14:paraId="2513478F" w14:textId="07AA434F" w:rsidR="005E21D3" w:rsidRPr="005E21D3" w:rsidRDefault="002530CF" w:rsidP="005E21D3">
      <w:pPr>
        <w:pStyle w:val="HUDList"/>
        <w:numPr>
          <w:ilvl w:val="1"/>
          <w:numId w:val="4"/>
        </w:numPr>
        <w:ind w:left="1080" w:hanging="540"/>
        <w:rPr>
          <w:rFonts w:cs="Arial"/>
        </w:rPr>
      </w:pPr>
      <w:r w:rsidRPr="005E21D3">
        <w:rPr>
          <w:rFonts w:cs="Arial"/>
        </w:rPr>
        <w:t>as needed to reflect changes in legislation or best practice.</w:t>
      </w:r>
    </w:p>
    <w:p w14:paraId="16E70B6B" w14:textId="7470F2BA" w:rsidR="005E21D3" w:rsidRDefault="002530CF" w:rsidP="002530CF">
      <w:pPr>
        <w:pStyle w:val="HUDList"/>
        <w:ind w:left="540" w:hanging="540"/>
      </w:pPr>
      <w:r w:rsidRPr="003639BD">
        <w:t xml:space="preserve">Implement and </w:t>
      </w:r>
      <w:r w:rsidR="00A9447D">
        <w:t>r</w:t>
      </w:r>
      <w:r w:rsidRPr="003639BD">
        <w:t xml:space="preserve">eport on </w:t>
      </w:r>
      <w:r w:rsidR="00A9447D">
        <w:t>y</w:t>
      </w:r>
      <w:r w:rsidRPr="003639BD">
        <w:t xml:space="preserve">our </w:t>
      </w:r>
      <w:r w:rsidR="00A9447D">
        <w:t>p</w:t>
      </w:r>
      <w:r w:rsidRPr="003639BD">
        <w:t>olicy</w:t>
      </w:r>
      <w:r w:rsidR="006E6C45">
        <w:t xml:space="preserve"> by</w:t>
      </w:r>
      <w:r w:rsidRPr="005E21D3">
        <w:t xml:space="preserve">: </w:t>
      </w:r>
    </w:p>
    <w:p w14:paraId="7AC18476" w14:textId="674D447C" w:rsidR="005E21D3" w:rsidRPr="005E21D3" w:rsidRDefault="00A9447D" w:rsidP="005E21D3">
      <w:pPr>
        <w:pStyle w:val="HUDList"/>
        <w:numPr>
          <w:ilvl w:val="1"/>
          <w:numId w:val="2"/>
        </w:numPr>
        <w:ind w:left="1080" w:hanging="540"/>
      </w:pPr>
      <w:r>
        <w:rPr>
          <w:rFonts w:cs="Arial"/>
        </w:rPr>
        <w:t>d</w:t>
      </w:r>
      <w:r w:rsidR="002530CF" w:rsidRPr="005E21D3">
        <w:rPr>
          <w:rFonts w:cs="Arial"/>
        </w:rPr>
        <w:t>ocument</w:t>
      </w:r>
      <w:r w:rsidR="006E6C45">
        <w:rPr>
          <w:rFonts w:cs="Arial"/>
        </w:rPr>
        <w:t>ing</w:t>
      </w:r>
      <w:r w:rsidR="002530CF" w:rsidRPr="005E21D3">
        <w:rPr>
          <w:rFonts w:cs="Arial"/>
        </w:rPr>
        <w:t xml:space="preserve"> how your organisation has implemented the policy</w:t>
      </w:r>
    </w:p>
    <w:p w14:paraId="66516EDC" w14:textId="0B443C63" w:rsidR="002530CF" w:rsidRPr="005E21D3" w:rsidRDefault="00A9447D" w:rsidP="005E21D3">
      <w:pPr>
        <w:pStyle w:val="HUDList"/>
        <w:numPr>
          <w:ilvl w:val="1"/>
          <w:numId w:val="2"/>
        </w:numPr>
        <w:ind w:left="1080" w:hanging="540"/>
      </w:pPr>
      <w:r>
        <w:rPr>
          <w:rFonts w:cs="Arial"/>
        </w:rPr>
        <w:t>i</w:t>
      </w:r>
      <w:r w:rsidR="002530CF" w:rsidRPr="005E21D3">
        <w:rPr>
          <w:rFonts w:cs="Arial"/>
        </w:rPr>
        <w:t>nclud</w:t>
      </w:r>
      <w:r w:rsidR="006E6C45">
        <w:rPr>
          <w:rFonts w:cs="Arial"/>
        </w:rPr>
        <w:t>ing</w:t>
      </w:r>
      <w:r w:rsidR="002530CF" w:rsidRPr="005E21D3">
        <w:rPr>
          <w:rFonts w:cs="Arial"/>
        </w:rPr>
        <w:t xml:space="preserve"> this information in your regular reporting to </w:t>
      </w:r>
      <w:r>
        <w:rPr>
          <w:rFonts w:cs="Arial"/>
        </w:rPr>
        <w:t>us</w:t>
      </w:r>
      <w:r w:rsidR="002530CF" w:rsidRPr="005E21D3">
        <w:rPr>
          <w:rFonts w:cs="Arial"/>
        </w:rPr>
        <w:t>.</w:t>
      </w:r>
    </w:p>
    <w:p w14:paraId="5D16E14F" w14:textId="07B55D54" w:rsidR="002530CF" w:rsidRPr="002530CF" w:rsidRDefault="002530CF" w:rsidP="002530CF">
      <w:pPr>
        <w:pStyle w:val="HUDHeading3"/>
      </w:pPr>
      <w:bookmarkStart w:id="33" w:name="_Toc208995920"/>
      <w:r w:rsidRPr="002530CF">
        <w:t xml:space="preserve">Important notes about </w:t>
      </w:r>
      <w:r w:rsidR="00A9447D">
        <w:t>c</w:t>
      </w:r>
      <w:r w:rsidRPr="002530CF">
        <w:t xml:space="preserve">hild </w:t>
      </w:r>
      <w:r w:rsidR="00A9447D">
        <w:t>p</w:t>
      </w:r>
      <w:r w:rsidRPr="002530CF">
        <w:t>rotection policies</w:t>
      </w:r>
      <w:bookmarkEnd w:id="33"/>
    </w:p>
    <w:p w14:paraId="51CE8969" w14:textId="3B05D88C" w:rsidR="002530CF" w:rsidRPr="002530CF" w:rsidRDefault="002530CF" w:rsidP="002530CF">
      <w:pPr>
        <w:pStyle w:val="HUDBody"/>
        <w:rPr>
          <w:rFonts w:cs="Arial"/>
        </w:rPr>
      </w:pPr>
      <w:r w:rsidRPr="002530CF">
        <w:rPr>
          <w:rFonts w:cs="Arial"/>
        </w:rPr>
        <w:t>It’s important to understand that your child protection policy</w:t>
      </w:r>
      <w:r w:rsidR="00DA0668">
        <w:rPr>
          <w:rFonts w:cs="Arial"/>
        </w:rPr>
        <w:t xml:space="preserve"> does not</w:t>
      </w:r>
      <w:r w:rsidRPr="002530CF">
        <w:rPr>
          <w:rFonts w:cs="Arial"/>
        </w:rPr>
        <w:t>:</w:t>
      </w:r>
    </w:p>
    <w:p w14:paraId="7B7A68B1" w14:textId="601C4E94" w:rsidR="002530CF" w:rsidRPr="002530CF" w:rsidRDefault="002530CF" w:rsidP="005E21D3">
      <w:pPr>
        <w:pStyle w:val="HUDBullets"/>
      </w:pPr>
      <w:r w:rsidRPr="002530CF">
        <w:t>create legal rules or rights enforceable in court</w:t>
      </w:r>
    </w:p>
    <w:p w14:paraId="220F4F8E" w14:textId="3A3AB803" w:rsidR="002530CF" w:rsidRPr="002530CF" w:rsidRDefault="002530CF" w:rsidP="005E21D3">
      <w:pPr>
        <w:pStyle w:val="HUDBullets"/>
      </w:pPr>
      <w:r w:rsidRPr="002530CF">
        <w:t>limit how statutory powers must be exercised</w:t>
      </w:r>
    </w:p>
    <w:p w14:paraId="406BBACD" w14:textId="79B22214" w:rsidR="002530CF" w:rsidRPr="002530CF" w:rsidRDefault="002530CF" w:rsidP="005E21D3">
      <w:pPr>
        <w:pStyle w:val="HUDBullets"/>
      </w:pPr>
      <w:r w:rsidRPr="002530CF">
        <w:lastRenderedPageBreak/>
        <w:t>affect the interpretation of any legislation.</w:t>
      </w:r>
    </w:p>
    <w:p w14:paraId="7FEA177F" w14:textId="3D1589E5" w:rsidR="002530CF" w:rsidRPr="002530CF" w:rsidRDefault="002530CF" w:rsidP="002530CF">
      <w:pPr>
        <w:pStyle w:val="HUDBody"/>
        <w:rPr>
          <w:rFonts w:cs="Arial"/>
        </w:rPr>
      </w:pPr>
      <w:r w:rsidRPr="002530CF">
        <w:rPr>
          <w:rFonts w:cs="Arial"/>
        </w:rPr>
        <w:t xml:space="preserve">However, having a robust policy is a contractual requirement under your funding agreement with </w:t>
      </w:r>
      <w:r w:rsidR="00DA0668">
        <w:rPr>
          <w:rFonts w:cs="Arial"/>
        </w:rPr>
        <w:t>us</w:t>
      </w:r>
      <w:r w:rsidR="00DA0668" w:rsidRPr="002530CF">
        <w:rPr>
          <w:rFonts w:cs="Arial"/>
        </w:rPr>
        <w:t xml:space="preserve"> </w:t>
      </w:r>
      <w:r w:rsidRPr="002530CF">
        <w:rPr>
          <w:rFonts w:cs="Arial"/>
        </w:rPr>
        <w:t xml:space="preserve">and an essential part of creating a safe environment for the children and families you serve. </w:t>
      </w:r>
    </w:p>
    <w:p w14:paraId="529458D9" w14:textId="5ECE5D7D" w:rsidR="002530CF" w:rsidRPr="002530CF" w:rsidRDefault="002530CF" w:rsidP="002530CF">
      <w:pPr>
        <w:pStyle w:val="HUDHeading2"/>
      </w:pPr>
      <w:bookmarkStart w:id="34" w:name="_Toc208995921"/>
      <w:r w:rsidRPr="002530CF">
        <w:t xml:space="preserve">Family </w:t>
      </w:r>
      <w:r w:rsidR="00DA0668">
        <w:t>v</w:t>
      </w:r>
      <w:r w:rsidRPr="002530CF">
        <w:t xml:space="preserve">iolence and </w:t>
      </w:r>
      <w:r w:rsidR="00DA0668">
        <w:t>c</w:t>
      </w:r>
      <w:r w:rsidRPr="002530CF">
        <w:t xml:space="preserve">hild </w:t>
      </w:r>
      <w:r w:rsidR="00DA0668">
        <w:t>p</w:t>
      </w:r>
      <w:r w:rsidRPr="002530CF">
        <w:t xml:space="preserve">rotection </w:t>
      </w:r>
      <w:r w:rsidR="00DA0668">
        <w:t>g</w:t>
      </w:r>
      <w:r w:rsidRPr="002530CF">
        <w:t>uidelines</w:t>
      </w:r>
      <w:bookmarkEnd w:id="34"/>
    </w:p>
    <w:p w14:paraId="3C17BE5C" w14:textId="614BCFA3" w:rsidR="002530CF" w:rsidRPr="002530CF" w:rsidRDefault="002530CF" w:rsidP="002530CF">
      <w:pPr>
        <w:pStyle w:val="HUDBody"/>
        <w:rPr>
          <w:rFonts w:cs="Arial"/>
        </w:rPr>
      </w:pPr>
      <w:r w:rsidRPr="002530CF">
        <w:rPr>
          <w:rFonts w:cs="Arial"/>
        </w:rPr>
        <w:t xml:space="preserve">Family violence involves a range of controlling behaviours </w:t>
      </w:r>
      <w:r w:rsidR="006E6C45">
        <w:rPr>
          <w:rFonts w:cs="Arial"/>
        </w:rPr>
        <w:t>including</w:t>
      </w:r>
      <w:r w:rsidRPr="002530CF">
        <w:rPr>
          <w:rFonts w:cs="Arial"/>
        </w:rPr>
        <w:t xml:space="preserve"> physical, sexual, psychological or economic abuse. It can affect anyone regardless of gender, age, ethnicity or socioeconomic status. In transitional housing settings, providers play a critical role in identifying and responding to family violence concerns.</w:t>
      </w:r>
    </w:p>
    <w:p w14:paraId="75EEB1CD" w14:textId="34698598" w:rsidR="002530CF" w:rsidRPr="002530CF" w:rsidRDefault="002530CF" w:rsidP="002530CF">
      <w:pPr>
        <w:pStyle w:val="HUDBody"/>
        <w:rPr>
          <w:rFonts w:cs="Arial"/>
        </w:rPr>
      </w:pPr>
      <w:r w:rsidRPr="002530CF">
        <w:rPr>
          <w:rFonts w:cs="Arial"/>
        </w:rPr>
        <w:t xml:space="preserve">Prioritise immediate safety. If there is an immediate safety risk, </w:t>
      </w:r>
      <w:r w:rsidR="00A22F92">
        <w:rPr>
          <w:rFonts w:cs="Arial"/>
        </w:rPr>
        <w:t>phone</w:t>
      </w:r>
      <w:r w:rsidR="00A22F92" w:rsidRPr="002530CF">
        <w:rPr>
          <w:rFonts w:cs="Arial"/>
        </w:rPr>
        <w:t xml:space="preserve"> </w:t>
      </w:r>
      <w:r w:rsidRPr="002530CF">
        <w:rPr>
          <w:rFonts w:cs="Arial"/>
        </w:rPr>
        <w:t>the Police on 111.</w:t>
      </w:r>
    </w:p>
    <w:p w14:paraId="6127F244" w14:textId="088F6B08" w:rsidR="002530CF" w:rsidRPr="002530CF" w:rsidRDefault="002530CF" w:rsidP="002530CF">
      <w:pPr>
        <w:pStyle w:val="HUDBody"/>
        <w:rPr>
          <w:rFonts w:cs="Arial"/>
        </w:rPr>
      </w:pPr>
      <w:r w:rsidRPr="002530CF">
        <w:rPr>
          <w:rFonts w:cs="Arial"/>
        </w:rPr>
        <w:t xml:space="preserve">Contact Oranga Tamariki on 0508 326 459 or email </w:t>
      </w:r>
      <w:hyperlink r:id="rId28" w:history="1">
        <w:r w:rsidR="005E21D3" w:rsidRPr="000B5F8E">
          <w:rPr>
            <w:rStyle w:val="Hyperlink"/>
            <w:rFonts w:cs="Arial"/>
          </w:rPr>
          <w:t>contact@ot.govt.nz</w:t>
        </w:r>
      </w:hyperlink>
      <w:r w:rsidR="005E21D3">
        <w:rPr>
          <w:rFonts w:cs="Arial"/>
        </w:rPr>
        <w:t xml:space="preserve"> </w:t>
      </w:r>
      <w:r w:rsidRPr="002530CF">
        <w:rPr>
          <w:rFonts w:cs="Arial"/>
        </w:rPr>
        <w:t>if you have concerns about child abuse, neglect or exposure to family violence.</w:t>
      </w:r>
    </w:p>
    <w:p w14:paraId="56512708" w14:textId="54861104" w:rsidR="002530CF" w:rsidRDefault="002530CF" w:rsidP="002530CF">
      <w:pPr>
        <w:pStyle w:val="HUDBody"/>
        <w:rPr>
          <w:rFonts w:cs="Arial"/>
        </w:rPr>
      </w:pPr>
      <w:r w:rsidRPr="002530CF">
        <w:rPr>
          <w:rFonts w:cs="Arial"/>
        </w:rPr>
        <w:t>Follow your organisation's child protection policy.</w:t>
      </w:r>
    </w:p>
    <w:p w14:paraId="524A62A0" w14:textId="77777777" w:rsidR="002530CF" w:rsidRPr="002530CF" w:rsidRDefault="002530CF" w:rsidP="002530CF">
      <w:pPr>
        <w:pStyle w:val="HUDHeading3"/>
      </w:pPr>
      <w:bookmarkStart w:id="35" w:name="_Toc208995922"/>
      <w:r w:rsidRPr="002530CF">
        <w:t>Other support services and referral pathways</w:t>
      </w:r>
      <w:bookmarkEnd w:id="35"/>
    </w:p>
    <w:p w14:paraId="5A60C8C7" w14:textId="0723B1F2" w:rsidR="00FE1933" w:rsidRDefault="00EF0B8F" w:rsidP="00FE1933">
      <w:pPr>
        <w:pStyle w:val="HUDBody"/>
      </w:pPr>
      <w:r>
        <w:t>M</w:t>
      </w:r>
      <w:r w:rsidR="002530CF" w:rsidRPr="002530CF">
        <w:t>ore comprehensive information and resources about family violence</w:t>
      </w:r>
      <w:r w:rsidR="00FE1933">
        <w:t>:</w:t>
      </w:r>
    </w:p>
    <w:p w14:paraId="3F78753E" w14:textId="77777777" w:rsidR="00FE1933" w:rsidRDefault="00FE1933" w:rsidP="00FE1933">
      <w:pPr>
        <w:pStyle w:val="HUDBullets"/>
        <w:numPr>
          <w:ilvl w:val="0"/>
          <w:numId w:val="0"/>
        </w:numPr>
        <w:rPr>
          <w:rFonts w:cs="Arial"/>
        </w:rPr>
      </w:pPr>
      <w:hyperlink r:id="rId29" w:history="1">
        <w:r w:rsidRPr="00DD19B4">
          <w:rPr>
            <w:rStyle w:val="Hyperlink"/>
            <w:rFonts w:cs="Arial"/>
          </w:rPr>
          <w:t>Are You Ok website</w:t>
        </w:r>
      </w:hyperlink>
    </w:p>
    <w:p w14:paraId="0B3694CF" w14:textId="522078B9" w:rsidR="00FE1933" w:rsidRDefault="00FE1933" w:rsidP="00FE1933">
      <w:pPr>
        <w:pStyle w:val="HUDBullets"/>
        <w:numPr>
          <w:ilvl w:val="0"/>
          <w:numId w:val="0"/>
        </w:numPr>
        <w:rPr>
          <w:rFonts w:cs="Arial"/>
        </w:rPr>
      </w:pPr>
      <w:hyperlink r:id="rId30" w:history="1">
        <w:r>
          <w:rPr>
            <w:rStyle w:val="Hyperlink"/>
            <w:rFonts w:cs="Arial"/>
          </w:rPr>
          <w:t>Help for family violence (police.govt.nz)</w:t>
        </w:r>
      </w:hyperlink>
    </w:p>
    <w:p w14:paraId="47F76F0A" w14:textId="279BAB86" w:rsidR="00FE1933" w:rsidRPr="002530CF" w:rsidRDefault="00FE1933" w:rsidP="00FE1933">
      <w:pPr>
        <w:pStyle w:val="HUDBullets"/>
        <w:numPr>
          <w:ilvl w:val="0"/>
          <w:numId w:val="0"/>
        </w:numPr>
        <w:rPr>
          <w:rFonts w:cs="Arial"/>
        </w:rPr>
      </w:pPr>
      <w:hyperlink r:id="rId31" w:history="1">
        <w:r>
          <w:rPr>
            <w:rStyle w:val="Hyperlink"/>
            <w:rFonts w:cs="Arial"/>
          </w:rPr>
          <w:t>Family Violence Intervention Programme (workandincome.govt.nz)</w:t>
        </w:r>
      </w:hyperlink>
    </w:p>
    <w:p w14:paraId="4ED3F9D4" w14:textId="77777777" w:rsidR="002530CF" w:rsidRPr="002530CF" w:rsidRDefault="002530CF" w:rsidP="002530CF">
      <w:pPr>
        <w:pStyle w:val="HUDHeading3"/>
      </w:pPr>
      <w:bookmarkStart w:id="36" w:name="_Toc208995923"/>
      <w:r w:rsidRPr="002530CF">
        <w:t>Prevention strategies</w:t>
      </w:r>
      <w:bookmarkEnd w:id="36"/>
    </w:p>
    <w:p w14:paraId="35242517" w14:textId="77F3B985" w:rsidR="002530CF" w:rsidRPr="002530CF" w:rsidRDefault="002530CF" w:rsidP="005E21D3">
      <w:pPr>
        <w:pStyle w:val="HUDBullets"/>
      </w:pPr>
      <w:r w:rsidRPr="002530CF">
        <w:t>Display information about family violence support services in common areas.</w:t>
      </w:r>
    </w:p>
    <w:p w14:paraId="46AFAC7C" w14:textId="7AC4A072" w:rsidR="002530CF" w:rsidRPr="002530CF" w:rsidRDefault="002530CF" w:rsidP="005E21D3">
      <w:pPr>
        <w:pStyle w:val="HUDBullets"/>
      </w:pPr>
      <w:r w:rsidRPr="002530CF">
        <w:t>Include information about support services in welcome packs.</w:t>
      </w:r>
    </w:p>
    <w:p w14:paraId="5C78F5AD" w14:textId="55ECB7B0" w:rsidR="002530CF" w:rsidRDefault="002530CF" w:rsidP="005E21D3">
      <w:pPr>
        <w:pStyle w:val="HUDBullets"/>
      </w:pPr>
      <w:r w:rsidRPr="002530CF">
        <w:t>Create opportunities for safe disclosure through regular check-ins with households.</w:t>
      </w:r>
    </w:p>
    <w:p w14:paraId="401E736D" w14:textId="77777777" w:rsidR="00252427" w:rsidRPr="002530CF" w:rsidRDefault="00252427" w:rsidP="003639BD">
      <w:pPr>
        <w:pStyle w:val="HUDBullets"/>
        <w:numPr>
          <w:ilvl w:val="0"/>
          <w:numId w:val="0"/>
        </w:numPr>
      </w:pPr>
    </w:p>
    <w:p w14:paraId="2775C584" w14:textId="77777777" w:rsidR="002530CF" w:rsidRPr="002530CF" w:rsidRDefault="002530CF" w:rsidP="002530CF">
      <w:pPr>
        <w:pStyle w:val="HUDHeading1"/>
      </w:pPr>
      <w:bookmarkStart w:id="37" w:name="_Toc208995924"/>
      <w:r w:rsidRPr="00252427">
        <w:t>4.5 Complaints and disputes</w:t>
      </w:r>
      <w:bookmarkEnd w:id="37"/>
    </w:p>
    <w:p w14:paraId="6C27205B" w14:textId="4CB37294" w:rsidR="002530CF" w:rsidRPr="002530CF" w:rsidRDefault="00DD19B4" w:rsidP="002530CF">
      <w:pPr>
        <w:pStyle w:val="HUDBody"/>
        <w:rPr>
          <w:rFonts w:cs="Arial"/>
        </w:rPr>
      </w:pPr>
      <w:r>
        <w:rPr>
          <w:rFonts w:cs="Arial"/>
        </w:rPr>
        <w:t>We’ll</w:t>
      </w:r>
      <w:r w:rsidR="002530CF" w:rsidRPr="002530CF">
        <w:rPr>
          <w:rFonts w:cs="Arial"/>
        </w:rPr>
        <w:t xml:space="preserve"> work with you to resolve </w:t>
      </w:r>
      <w:r w:rsidRPr="002530CF">
        <w:rPr>
          <w:rFonts w:cs="Arial"/>
        </w:rPr>
        <w:t>a</w:t>
      </w:r>
      <w:r>
        <w:rPr>
          <w:rFonts w:cs="Arial"/>
        </w:rPr>
        <w:t>ny</w:t>
      </w:r>
      <w:r w:rsidRPr="002530CF">
        <w:rPr>
          <w:rFonts w:cs="Arial"/>
        </w:rPr>
        <w:t xml:space="preserve"> complaint</w:t>
      </w:r>
      <w:r>
        <w:rPr>
          <w:rFonts w:cs="Arial"/>
        </w:rPr>
        <w:t>s</w:t>
      </w:r>
      <w:r w:rsidRPr="002530CF">
        <w:rPr>
          <w:rFonts w:cs="Arial"/>
        </w:rPr>
        <w:t xml:space="preserve"> about you or your transitional housing service</w:t>
      </w:r>
      <w:r w:rsidR="002530CF" w:rsidRPr="002530CF">
        <w:rPr>
          <w:rFonts w:cs="Arial"/>
        </w:rPr>
        <w:t>. In some cases, the complaint may be shared with Te Kāhui Kahu, MSD, the Community Housing Regulatory Authority or other relevant government agencies.</w:t>
      </w:r>
    </w:p>
    <w:p w14:paraId="3411473C" w14:textId="41B4EB1A" w:rsidR="002530CF" w:rsidRPr="002530CF" w:rsidRDefault="002530CF" w:rsidP="002530CF">
      <w:pPr>
        <w:pStyle w:val="HUDBody"/>
        <w:rPr>
          <w:rFonts w:cs="Arial"/>
        </w:rPr>
      </w:pPr>
      <w:r w:rsidRPr="002530CF">
        <w:rPr>
          <w:rFonts w:cs="Arial"/>
        </w:rPr>
        <w:t xml:space="preserve">Where a complaint or dispute arises between you and a household in your service, this must be managed to resolution through your internal dispute resolution process. </w:t>
      </w:r>
      <w:r w:rsidR="00DD19B4">
        <w:rPr>
          <w:rFonts w:cs="Arial"/>
        </w:rPr>
        <w:lastRenderedPageBreak/>
        <w:t>T</w:t>
      </w:r>
      <w:r w:rsidRPr="002530CF">
        <w:rPr>
          <w:rFonts w:cs="Arial"/>
        </w:rPr>
        <w:t>he Independent Dispute Resolution Service should only be used as an escalation option if your internal process does not resolve the issue.</w:t>
      </w:r>
    </w:p>
    <w:p w14:paraId="15E68C29" w14:textId="6DD3D489" w:rsidR="002530CF" w:rsidRPr="002530CF" w:rsidRDefault="002530CF" w:rsidP="002530CF">
      <w:pPr>
        <w:pStyle w:val="HUDHeading2"/>
      </w:pPr>
      <w:bookmarkStart w:id="38" w:name="_Toc208995925"/>
      <w:r w:rsidRPr="002530CF">
        <w:t xml:space="preserve">Independent </w:t>
      </w:r>
      <w:r w:rsidR="006E6C45">
        <w:t>d</w:t>
      </w:r>
      <w:r w:rsidRPr="002530CF">
        <w:t xml:space="preserve">ispute </w:t>
      </w:r>
      <w:r w:rsidR="006E6C45">
        <w:t>r</w:t>
      </w:r>
      <w:r w:rsidRPr="002530CF">
        <w:t xml:space="preserve">esolution </w:t>
      </w:r>
      <w:r w:rsidR="006E6C45">
        <w:t>s</w:t>
      </w:r>
      <w:r w:rsidRPr="002530CF">
        <w:t>ervice</w:t>
      </w:r>
      <w:bookmarkEnd w:id="38"/>
    </w:p>
    <w:p w14:paraId="489BBFAF" w14:textId="5C7E0DA1" w:rsidR="002530CF" w:rsidRPr="002530CF" w:rsidRDefault="002530CF" w:rsidP="002530CF">
      <w:pPr>
        <w:pStyle w:val="HUDBody"/>
        <w:rPr>
          <w:rFonts w:cs="Arial"/>
        </w:rPr>
      </w:pPr>
      <w:r w:rsidRPr="002530CF">
        <w:rPr>
          <w:rFonts w:cs="Arial"/>
        </w:rPr>
        <w:t xml:space="preserve">The </w:t>
      </w:r>
      <w:r w:rsidR="00252427">
        <w:rPr>
          <w:rFonts w:cs="Arial"/>
        </w:rPr>
        <w:t>i</w:t>
      </w:r>
      <w:r w:rsidR="00DD7298">
        <w:rPr>
          <w:rFonts w:cs="Arial"/>
        </w:rPr>
        <w:t>ndependent dispute resolution (IDR) s</w:t>
      </w:r>
      <w:r w:rsidRPr="002530CF">
        <w:rPr>
          <w:rFonts w:cs="Arial"/>
        </w:rPr>
        <w:t xml:space="preserve">ervice provides specialised resolution for disputes between </w:t>
      </w:r>
      <w:r w:rsidR="00DD7298">
        <w:rPr>
          <w:rFonts w:cs="Arial"/>
        </w:rPr>
        <w:t>h</w:t>
      </w:r>
      <w:r w:rsidRPr="002530CF">
        <w:rPr>
          <w:rFonts w:cs="Arial"/>
        </w:rPr>
        <w:t xml:space="preserve">ouseholds and </w:t>
      </w:r>
      <w:r w:rsidR="00DD7298">
        <w:rPr>
          <w:rFonts w:cs="Arial"/>
        </w:rPr>
        <w:t>p</w:t>
      </w:r>
      <w:r w:rsidRPr="002530CF">
        <w:rPr>
          <w:rFonts w:cs="Arial"/>
        </w:rPr>
        <w:t xml:space="preserve">roviders where the </w:t>
      </w:r>
      <w:r w:rsidR="00DD7298">
        <w:rPr>
          <w:rFonts w:cs="Arial"/>
        </w:rPr>
        <w:t>p</w:t>
      </w:r>
      <w:r w:rsidRPr="002530CF">
        <w:rPr>
          <w:rFonts w:cs="Arial"/>
        </w:rPr>
        <w:t>rovider's internal complaints handling process has not delivered a mutually acceptable solution.</w:t>
      </w:r>
    </w:p>
    <w:p w14:paraId="1A157EA8" w14:textId="6ADDB3D9" w:rsidR="002530CF" w:rsidRPr="002530CF" w:rsidRDefault="002530CF" w:rsidP="002530CF">
      <w:pPr>
        <w:pStyle w:val="HUDHeading3"/>
      </w:pPr>
      <w:bookmarkStart w:id="39" w:name="_Toc208995926"/>
      <w:r w:rsidRPr="002530CF">
        <w:t xml:space="preserve">Scope of </w:t>
      </w:r>
      <w:r w:rsidR="00DD7298">
        <w:t>s</w:t>
      </w:r>
      <w:r w:rsidRPr="002530CF">
        <w:t>ervice</w:t>
      </w:r>
      <w:bookmarkEnd w:id="39"/>
      <w:r w:rsidRPr="002530CF">
        <w:t xml:space="preserve"> </w:t>
      </w:r>
    </w:p>
    <w:p w14:paraId="45A8C3F4" w14:textId="741A9E98" w:rsidR="002530CF" w:rsidRPr="002530CF" w:rsidRDefault="002530CF" w:rsidP="002530CF">
      <w:pPr>
        <w:pStyle w:val="HUDBody"/>
        <w:rPr>
          <w:rFonts w:cs="Arial"/>
        </w:rPr>
      </w:pPr>
      <w:r w:rsidRPr="002530CF">
        <w:rPr>
          <w:rFonts w:cs="Arial"/>
        </w:rPr>
        <w:t xml:space="preserve">The IDR </w:t>
      </w:r>
      <w:r w:rsidR="00DD7298">
        <w:rPr>
          <w:rFonts w:cs="Arial"/>
        </w:rPr>
        <w:t>s</w:t>
      </w:r>
      <w:r w:rsidRPr="002530CF">
        <w:rPr>
          <w:rFonts w:cs="Arial"/>
        </w:rPr>
        <w:t>ervice can consider complaints about:</w:t>
      </w:r>
    </w:p>
    <w:p w14:paraId="76724812" w14:textId="69B23CAF" w:rsidR="002530CF" w:rsidRPr="002530CF" w:rsidRDefault="00DD7298" w:rsidP="005E21D3">
      <w:pPr>
        <w:pStyle w:val="HUDBullets"/>
      </w:pPr>
      <w:r>
        <w:t>a</w:t>
      </w:r>
      <w:r w:rsidR="002530CF" w:rsidRPr="002530CF">
        <w:t xml:space="preserve">lleged breaches of a </w:t>
      </w:r>
      <w:r>
        <w:t>h</w:t>
      </w:r>
      <w:r w:rsidR="002530CF" w:rsidRPr="002530CF">
        <w:t xml:space="preserve">ousing </w:t>
      </w:r>
      <w:r>
        <w:t>a</w:t>
      </w:r>
      <w:r w:rsidR="002530CF" w:rsidRPr="002530CF">
        <w:t>greement</w:t>
      </w:r>
    </w:p>
    <w:p w14:paraId="1943D1FA" w14:textId="6580AE80" w:rsidR="002530CF" w:rsidRPr="002530CF" w:rsidRDefault="00DD7298" w:rsidP="005E21D3">
      <w:pPr>
        <w:pStyle w:val="HUDBullets"/>
      </w:pPr>
      <w:r>
        <w:t>t</w:t>
      </w:r>
      <w:r w:rsidR="002530CF" w:rsidRPr="002530CF">
        <w:t xml:space="preserve">he validity of terms in a </w:t>
      </w:r>
      <w:r>
        <w:t>h</w:t>
      </w:r>
      <w:r w:rsidR="002530CF" w:rsidRPr="002530CF">
        <w:t xml:space="preserve">ousing </w:t>
      </w:r>
      <w:r>
        <w:t>a</w:t>
      </w:r>
      <w:r w:rsidR="002530CF" w:rsidRPr="002530CF">
        <w:t xml:space="preserve">greement when compared to the </w:t>
      </w:r>
      <w:r>
        <w:t>p</w:t>
      </w:r>
      <w:r w:rsidR="002530CF" w:rsidRPr="002530CF">
        <w:t xml:space="preserve">rovider's </w:t>
      </w:r>
      <w:r>
        <w:t>s</w:t>
      </w:r>
      <w:r w:rsidR="002530CF" w:rsidRPr="002530CF">
        <w:t xml:space="preserve">ervices </w:t>
      </w:r>
      <w:r>
        <w:t>a</w:t>
      </w:r>
      <w:r w:rsidR="002530CF" w:rsidRPr="002530CF">
        <w:t>greement.</w:t>
      </w:r>
    </w:p>
    <w:p w14:paraId="59DB2BFA" w14:textId="77777777" w:rsidR="002530CF" w:rsidRPr="002530CF" w:rsidRDefault="002530CF" w:rsidP="002530CF">
      <w:pPr>
        <w:pStyle w:val="HUDBody"/>
        <w:rPr>
          <w:rFonts w:cs="Arial"/>
        </w:rPr>
      </w:pPr>
      <w:r w:rsidRPr="002530CF">
        <w:rPr>
          <w:rFonts w:cs="Arial"/>
        </w:rPr>
        <w:t>To be eligible for consideration, complaints must:</w:t>
      </w:r>
    </w:p>
    <w:p w14:paraId="4832EC96" w14:textId="4143633A" w:rsidR="002530CF" w:rsidRPr="002530CF" w:rsidRDefault="00DD7298" w:rsidP="005E21D3">
      <w:pPr>
        <w:pStyle w:val="HUDBullets"/>
      </w:pPr>
      <w:r>
        <w:t>b</w:t>
      </w:r>
      <w:r w:rsidR="002530CF" w:rsidRPr="002530CF">
        <w:t xml:space="preserve">e made by a party to a </w:t>
      </w:r>
      <w:r>
        <w:t>h</w:t>
      </w:r>
      <w:r w:rsidR="002530CF" w:rsidRPr="002530CF">
        <w:t xml:space="preserve">ousing </w:t>
      </w:r>
      <w:r>
        <w:t>a</w:t>
      </w:r>
      <w:r w:rsidR="002530CF" w:rsidRPr="002530CF">
        <w:t>greement</w:t>
      </w:r>
    </w:p>
    <w:p w14:paraId="64AB1D5E" w14:textId="173378F4" w:rsidR="002530CF" w:rsidRPr="002530CF" w:rsidRDefault="00DD7298" w:rsidP="005E21D3">
      <w:pPr>
        <w:pStyle w:val="HUDBullets"/>
      </w:pPr>
      <w:r>
        <w:t>r</w:t>
      </w:r>
      <w:r w:rsidR="002530CF" w:rsidRPr="002530CF">
        <w:t xml:space="preserve">elate to actions or inactions that occurred during the term of the </w:t>
      </w:r>
      <w:r>
        <w:t>h</w:t>
      </w:r>
      <w:r w:rsidR="002530CF" w:rsidRPr="002530CF">
        <w:t xml:space="preserve">ousing </w:t>
      </w:r>
      <w:r>
        <w:t>a</w:t>
      </w:r>
      <w:r w:rsidR="002530CF" w:rsidRPr="002530CF">
        <w:t>greement and after 1 December 2023</w:t>
      </w:r>
    </w:p>
    <w:p w14:paraId="5AB2E7EA" w14:textId="3E1D48C2" w:rsidR="005E21D3" w:rsidRPr="005E21D3" w:rsidRDefault="00DD7298" w:rsidP="002530CF">
      <w:pPr>
        <w:pStyle w:val="HUDBullets"/>
        <w:rPr>
          <w:rFonts w:cs="Arial"/>
        </w:rPr>
      </w:pPr>
      <w:r>
        <w:t>h</w:t>
      </w:r>
      <w:r w:rsidR="002530CF" w:rsidRPr="002530CF">
        <w:t xml:space="preserve">ave first gone through the </w:t>
      </w:r>
      <w:r>
        <w:t>p</w:t>
      </w:r>
      <w:r w:rsidR="002530CF" w:rsidRPr="002530CF">
        <w:t>rovider's dispute resolution process</w:t>
      </w:r>
    </w:p>
    <w:p w14:paraId="777A1996" w14:textId="7E93A6B5" w:rsidR="002530CF" w:rsidRPr="005E21D3" w:rsidRDefault="00DD7298" w:rsidP="002530CF">
      <w:pPr>
        <w:pStyle w:val="HUDBullets"/>
        <w:rPr>
          <w:rFonts w:cs="Arial"/>
        </w:rPr>
      </w:pPr>
      <w:r>
        <w:rPr>
          <w:rFonts w:cs="Arial"/>
        </w:rPr>
        <w:t>b</w:t>
      </w:r>
      <w:r w:rsidR="002530CF" w:rsidRPr="005E21D3">
        <w:rPr>
          <w:rFonts w:cs="Arial"/>
        </w:rPr>
        <w:t xml:space="preserve">e lodged within 15 </w:t>
      </w:r>
      <w:r>
        <w:rPr>
          <w:rFonts w:cs="Arial"/>
        </w:rPr>
        <w:t>b</w:t>
      </w:r>
      <w:r w:rsidR="002530CF" w:rsidRPr="005E21D3">
        <w:rPr>
          <w:rFonts w:cs="Arial"/>
        </w:rPr>
        <w:t xml:space="preserve">usiness </w:t>
      </w:r>
      <w:r>
        <w:rPr>
          <w:rFonts w:cs="Arial"/>
        </w:rPr>
        <w:t>d</w:t>
      </w:r>
      <w:r w:rsidR="002530CF" w:rsidRPr="005E21D3">
        <w:rPr>
          <w:rFonts w:cs="Arial"/>
        </w:rPr>
        <w:t xml:space="preserve">ays of the conclusion of the </w:t>
      </w:r>
      <w:r>
        <w:rPr>
          <w:rFonts w:cs="Arial"/>
        </w:rPr>
        <w:t>p</w:t>
      </w:r>
      <w:r w:rsidR="002530CF" w:rsidRPr="005E21D3">
        <w:rPr>
          <w:rFonts w:cs="Arial"/>
        </w:rPr>
        <w:t>rovider's complaint resolution process (extensions may be granted in exceptional circumstances).</w:t>
      </w:r>
    </w:p>
    <w:p w14:paraId="664D7400" w14:textId="3BF687C9" w:rsidR="002530CF" w:rsidRPr="00DD7298" w:rsidRDefault="002530CF" w:rsidP="003639BD">
      <w:pPr>
        <w:pStyle w:val="HUDBody"/>
      </w:pPr>
      <w:r w:rsidRPr="002530CF">
        <w:rPr>
          <w:rFonts w:cs="Arial"/>
        </w:rPr>
        <w:t xml:space="preserve">The IDR </w:t>
      </w:r>
      <w:r w:rsidR="00DD7298">
        <w:rPr>
          <w:rFonts w:cs="Arial"/>
        </w:rPr>
        <w:t>s</w:t>
      </w:r>
      <w:r w:rsidRPr="002530CF">
        <w:rPr>
          <w:rFonts w:cs="Arial"/>
        </w:rPr>
        <w:t>ervice cannot consider complaints about</w:t>
      </w:r>
      <w:r w:rsidR="00DD7298">
        <w:rPr>
          <w:rFonts w:cs="Arial"/>
        </w:rPr>
        <w:t xml:space="preserve"> </w:t>
      </w:r>
      <w:r w:rsidR="00DD7298">
        <w:t>s</w:t>
      </w:r>
      <w:r w:rsidRPr="00DD7298">
        <w:t>ecurity deposits</w:t>
      </w:r>
      <w:r w:rsidR="00DD7298">
        <w:t>, h</w:t>
      </w:r>
      <w:r w:rsidRPr="00DD7298">
        <w:t xml:space="preserve">ousing </w:t>
      </w:r>
      <w:r w:rsidR="00DD7298">
        <w:t>c</w:t>
      </w:r>
      <w:r w:rsidRPr="00DD7298">
        <w:t>ontributions</w:t>
      </w:r>
      <w:r w:rsidR="00DD7298">
        <w:t>, c</w:t>
      </w:r>
      <w:r w:rsidRPr="00DD7298">
        <w:t>omplaints that have no reasonable prospect of success</w:t>
      </w:r>
      <w:r w:rsidR="00DD7298">
        <w:t>, f</w:t>
      </w:r>
      <w:r w:rsidRPr="00DD7298">
        <w:t>rivolous or vexatious complaints</w:t>
      </w:r>
      <w:r w:rsidR="00DD7298">
        <w:t xml:space="preserve"> or t</w:t>
      </w:r>
      <w:r w:rsidRPr="00DD7298">
        <w:t>est cases (an actual instance of the issue must have occurred).</w:t>
      </w:r>
    </w:p>
    <w:p w14:paraId="4468203B" w14:textId="77777777" w:rsidR="002530CF" w:rsidRPr="002530CF" w:rsidRDefault="002530CF" w:rsidP="002530CF">
      <w:pPr>
        <w:pStyle w:val="HUDHeading3"/>
      </w:pPr>
      <w:bookmarkStart w:id="40" w:name="_Toc208995927"/>
      <w:r w:rsidRPr="002530CF">
        <w:t>Supporting documents</w:t>
      </w:r>
      <w:bookmarkEnd w:id="40"/>
    </w:p>
    <w:p w14:paraId="69A9576A" w14:textId="3593A141" w:rsidR="002530CF" w:rsidRPr="002530CF" w:rsidRDefault="002530CF" w:rsidP="003639BD">
      <w:pPr>
        <w:pStyle w:val="HUDBody"/>
        <w:rPr>
          <w:rFonts w:cs="Arial"/>
        </w:rPr>
      </w:pPr>
      <w:hyperlink r:id="rId32" w:history="1">
        <w:r w:rsidRPr="002530CF">
          <w:rPr>
            <w:rStyle w:val="Hyperlink"/>
            <w:rFonts w:cs="Arial"/>
          </w:rPr>
          <w:t>Scope of the IDR service</w:t>
        </w:r>
      </w:hyperlink>
      <w:r w:rsidRPr="002530CF">
        <w:rPr>
          <w:rFonts w:cs="Arial"/>
        </w:rPr>
        <w:t xml:space="preserve"> (PDF, 84 KB).</w:t>
      </w:r>
    </w:p>
    <w:p w14:paraId="208B7180" w14:textId="2100BE67" w:rsidR="002530CF" w:rsidRPr="002530CF" w:rsidRDefault="002530CF" w:rsidP="003639BD">
      <w:pPr>
        <w:pStyle w:val="HUDBody"/>
        <w:rPr>
          <w:rFonts w:cs="Arial"/>
        </w:rPr>
      </w:pPr>
      <w:hyperlink r:id="rId33" w:history="1">
        <w:r w:rsidRPr="002530CF">
          <w:rPr>
            <w:rStyle w:val="Hyperlink"/>
            <w:rFonts w:cs="Arial"/>
          </w:rPr>
          <w:t>F</w:t>
        </w:r>
        <w:r w:rsidR="00DD7298">
          <w:rPr>
            <w:rStyle w:val="Hyperlink"/>
            <w:rFonts w:cs="Arial"/>
          </w:rPr>
          <w:t>requently asked question</w:t>
        </w:r>
        <w:r w:rsidRPr="002530CF">
          <w:rPr>
            <w:rStyle w:val="Hyperlink"/>
            <w:rFonts w:cs="Arial"/>
          </w:rPr>
          <w:t xml:space="preserve">s </w:t>
        </w:r>
        <w:r w:rsidR="00DD7298">
          <w:rPr>
            <w:rStyle w:val="Hyperlink"/>
            <w:rFonts w:cs="Arial"/>
          </w:rPr>
          <w:t>about</w:t>
        </w:r>
        <w:r w:rsidRPr="002530CF">
          <w:rPr>
            <w:rStyle w:val="Hyperlink"/>
            <w:rFonts w:cs="Arial"/>
          </w:rPr>
          <w:t xml:space="preserve"> the IDR service for transitional housing providers</w:t>
        </w:r>
      </w:hyperlink>
      <w:r w:rsidRPr="002530CF">
        <w:rPr>
          <w:rFonts w:cs="Arial"/>
        </w:rPr>
        <w:t xml:space="preserve"> (PDF, 193 KB).</w:t>
      </w:r>
    </w:p>
    <w:p w14:paraId="208DF5DF" w14:textId="5A646EC5" w:rsidR="002530CF" w:rsidRPr="002530CF" w:rsidRDefault="002530CF" w:rsidP="003639BD">
      <w:pPr>
        <w:pStyle w:val="HUDBody"/>
        <w:rPr>
          <w:rFonts w:cs="Arial"/>
        </w:rPr>
      </w:pPr>
      <w:hyperlink r:id="rId34" w:history="1">
        <w:r w:rsidRPr="002530CF">
          <w:rPr>
            <w:rStyle w:val="Hyperlink"/>
            <w:rFonts w:cs="Arial"/>
          </w:rPr>
          <w:t>Factsheet: support for whānau and transitional housing providers when disputes arise</w:t>
        </w:r>
      </w:hyperlink>
      <w:r w:rsidRPr="002530CF">
        <w:rPr>
          <w:rFonts w:cs="Arial"/>
        </w:rPr>
        <w:t xml:space="preserve"> (PDF, 1.8 MB).</w:t>
      </w:r>
    </w:p>
    <w:p w14:paraId="011E3299" w14:textId="77777777" w:rsidR="002530CF" w:rsidRPr="002530CF" w:rsidRDefault="002530CF" w:rsidP="002530CF">
      <w:pPr>
        <w:pStyle w:val="HUDHeading3"/>
      </w:pPr>
      <w:bookmarkStart w:id="41" w:name="_Toc208995928"/>
      <w:r w:rsidRPr="002530CF">
        <w:t>How to access the service</w:t>
      </w:r>
      <w:bookmarkEnd w:id="41"/>
    </w:p>
    <w:p w14:paraId="7E87CF1A" w14:textId="37CD128C" w:rsidR="002530CF" w:rsidRPr="002530CF" w:rsidRDefault="002530CF" w:rsidP="003639BD">
      <w:pPr>
        <w:pStyle w:val="HUDBody"/>
      </w:pPr>
      <w:r w:rsidRPr="002530CF">
        <w:t>To escalate a dispute, a household or transitional housing provider can contact Fair Way</w:t>
      </w:r>
      <w:r w:rsidR="0068057C">
        <w:t>.</w:t>
      </w:r>
    </w:p>
    <w:p w14:paraId="3B210924" w14:textId="53E7C9FB" w:rsidR="002530CF" w:rsidRPr="002530CF" w:rsidRDefault="002530CF" w:rsidP="002530CF">
      <w:pPr>
        <w:pStyle w:val="HUDBody"/>
        <w:rPr>
          <w:rFonts w:cs="Arial"/>
        </w:rPr>
      </w:pPr>
      <w:r w:rsidRPr="002530CF">
        <w:rPr>
          <w:rFonts w:cs="Arial"/>
        </w:rPr>
        <w:t xml:space="preserve">Email: </w:t>
      </w:r>
      <w:hyperlink r:id="rId35" w:history="1">
        <w:r w:rsidR="005E21D3" w:rsidRPr="000B5F8E">
          <w:rPr>
            <w:rStyle w:val="Hyperlink"/>
            <w:rFonts w:cs="Arial"/>
          </w:rPr>
          <w:t>housing@fairwayresolution.com</w:t>
        </w:r>
      </w:hyperlink>
      <w:r w:rsidR="005E21D3">
        <w:rPr>
          <w:rFonts w:cs="Arial"/>
        </w:rPr>
        <w:t xml:space="preserve"> </w:t>
      </w:r>
    </w:p>
    <w:p w14:paraId="7D687048" w14:textId="514D6571" w:rsidR="002530CF" w:rsidRPr="002530CF" w:rsidRDefault="002530CF" w:rsidP="002530CF">
      <w:pPr>
        <w:pStyle w:val="HUDBody"/>
        <w:rPr>
          <w:rFonts w:cs="Arial"/>
        </w:rPr>
      </w:pPr>
      <w:r w:rsidRPr="002530CF">
        <w:rPr>
          <w:rFonts w:cs="Arial"/>
        </w:rPr>
        <w:lastRenderedPageBreak/>
        <w:t xml:space="preserve">Online: </w:t>
      </w:r>
      <w:hyperlink r:id="rId36" w:history="1">
        <w:r w:rsidRPr="002530CF">
          <w:rPr>
            <w:rStyle w:val="Hyperlink"/>
            <w:rFonts w:cs="Arial"/>
          </w:rPr>
          <w:t>fill out the webform</w:t>
        </w:r>
        <w:r w:rsidR="00DD7298">
          <w:rPr>
            <w:rStyle w:val="Hyperlink"/>
            <w:rFonts w:cs="Arial"/>
          </w:rPr>
          <w:t xml:space="preserve"> </w:t>
        </w:r>
        <w:r w:rsidR="00252427">
          <w:rPr>
            <w:rStyle w:val="Hyperlink"/>
            <w:rFonts w:cs="Arial"/>
          </w:rPr>
          <w:t>(fairwayresolution.com</w:t>
        </w:r>
        <w:r w:rsidRPr="002530CF">
          <w:rPr>
            <w:rStyle w:val="Hyperlink"/>
            <w:rFonts w:cs="Arial"/>
          </w:rPr>
          <w:t>)</w:t>
        </w:r>
      </w:hyperlink>
    </w:p>
    <w:p w14:paraId="2AA881EE" w14:textId="77777777" w:rsidR="002530CF" w:rsidRPr="002530CF" w:rsidRDefault="002530CF" w:rsidP="002530CF">
      <w:pPr>
        <w:pStyle w:val="HUDBody"/>
        <w:rPr>
          <w:rFonts w:cs="Arial"/>
        </w:rPr>
      </w:pPr>
      <w:r w:rsidRPr="002530CF">
        <w:rPr>
          <w:rFonts w:cs="Arial"/>
        </w:rPr>
        <w:t>Freephone: 0800 77 44 08</w:t>
      </w:r>
    </w:p>
    <w:p w14:paraId="1D8D4009" w14:textId="77777777" w:rsidR="002530CF" w:rsidRPr="002530CF" w:rsidRDefault="002530CF" w:rsidP="002530CF">
      <w:pPr>
        <w:pStyle w:val="HUDHeading1"/>
      </w:pPr>
      <w:bookmarkStart w:id="42" w:name="_Toc208995929"/>
      <w:r w:rsidRPr="002530CF">
        <w:t>4.5 Damage</w:t>
      </w:r>
      <w:bookmarkEnd w:id="42"/>
    </w:p>
    <w:p w14:paraId="4EDE5211" w14:textId="38259A60" w:rsidR="002530CF" w:rsidRPr="002530CF" w:rsidRDefault="002530CF" w:rsidP="002530CF">
      <w:pPr>
        <w:pStyle w:val="HUDBody"/>
        <w:rPr>
          <w:rFonts w:cs="Arial"/>
        </w:rPr>
      </w:pPr>
      <w:r w:rsidRPr="002530CF">
        <w:rPr>
          <w:rFonts w:cs="Arial"/>
        </w:rPr>
        <w:t xml:space="preserve">When a household member or visitor causes damage </w:t>
      </w:r>
      <w:r w:rsidR="006E6C45">
        <w:rPr>
          <w:rFonts w:cs="Arial"/>
        </w:rPr>
        <w:t>to</w:t>
      </w:r>
      <w:r w:rsidR="006E6C45" w:rsidRPr="002530CF">
        <w:rPr>
          <w:rFonts w:cs="Arial"/>
        </w:rPr>
        <w:t xml:space="preserve"> </w:t>
      </w:r>
      <w:r w:rsidRPr="002530CF">
        <w:rPr>
          <w:rFonts w:cs="Arial"/>
        </w:rPr>
        <w:t xml:space="preserve">a property, there are funding sources </w:t>
      </w:r>
      <w:r w:rsidR="00252427">
        <w:rPr>
          <w:rFonts w:cs="Arial"/>
        </w:rPr>
        <w:t>available</w:t>
      </w:r>
      <w:r w:rsidRPr="002530CF">
        <w:rPr>
          <w:rFonts w:cs="Arial"/>
        </w:rPr>
        <w:t xml:space="preserve"> to cover the cost of remediation</w:t>
      </w:r>
      <w:r w:rsidR="00252427">
        <w:rPr>
          <w:rFonts w:cs="Arial"/>
        </w:rPr>
        <w:t xml:space="preserve">, </w:t>
      </w:r>
      <w:r w:rsidRPr="002530CF">
        <w:rPr>
          <w:rFonts w:cs="Arial"/>
        </w:rPr>
        <w:t xml:space="preserve">outlined below. </w:t>
      </w:r>
    </w:p>
    <w:p w14:paraId="41FF23E0" w14:textId="77777777" w:rsidR="002530CF" w:rsidRPr="002530CF" w:rsidRDefault="002530CF" w:rsidP="002530CF">
      <w:pPr>
        <w:pStyle w:val="HUDHeading2"/>
      </w:pPr>
      <w:bookmarkStart w:id="43" w:name="_Toc208995930"/>
      <w:r w:rsidRPr="002530CF">
        <w:t>Insurance</w:t>
      </w:r>
      <w:bookmarkEnd w:id="43"/>
    </w:p>
    <w:p w14:paraId="3700AFD1" w14:textId="137BD724" w:rsidR="002530CF" w:rsidRPr="002530CF" w:rsidRDefault="002530CF" w:rsidP="003639BD">
      <w:pPr>
        <w:pStyle w:val="HUDBody"/>
      </w:pPr>
      <w:r w:rsidRPr="002530CF">
        <w:rPr>
          <w:rFonts w:cs="Arial"/>
        </w:rPr>
        <w:t xml:space="preserve">Insurance requirements are outlined in your </w:t>
      </w:r>
      <w:r w:rsidR="00DD7298">
        <w:rPr>
          <w:rFonts w:cs="Arial"/>
        </w:rPr>
        <w:t>s</w:t>
      </w:r>
      <w:r w:rsidRPr="002530CF">
        <w:rPr>
          <w:rFonts w:cs="Arial"/>
        </w:rPr>
        <w:t xml:space="preserve">ervices </w:t>
      </w:r>
      <w:r w:rsidR="00DD7298">
        <w:rPr>
          <w:rFonts w:cs="Arial"/>
        </w:rPr>
        <w:t>a</w:t>
      </w:r>
      <w:r w:rsidRPr="002530CF">
        <w:rPr>
          <w:rFonts w:cs="Arial"/>
        </w:rPr>
        <w:t xml:space="preserve">greement. You are required to hold insurance which has both housing and service components. </w:t>
      </w:r>
      <w:r w:rsidR="00DD7298">
        <w:rPr>
          <w:rFonts w:cs="Arial"/>
        </w:rPr>
        <w:t>We</w:t>
      </w:r>
      <w:r w:rsidR="00DD7298" w:rsidRPr="002530CF">
        <w:rPr>
          <w:rFonts w:cs="Arial"/>
        </w:rPr>
        <w:t xml:space="preserve"> </w:t>
      </w:r>
      <w:r w:rsidRPr="002530CF">
        <w:rPr>
          <w:rFonts w:cs="Arial"/>
        </w:rPr>
        <w:t>expect that</w:t>
      </w:r>
      <w:r w:rsidR="00DD7298">
        <w:rPr>
          <w:rFonts w:cs="Arial"/>
        </w:rPr>
        <w:t>,</w:t>
      </w:r>
      <w:r w:rsidRPr="002530CF">
        <w:rPr>
          <w:rFonts w:cs="Arial"/>
        </w:rPr>
        <w:t xml:space="preserve"> a</w:t>
      </w:r>
      <w:r w:rsidR="00DD7298">
        <w:rPr>
          <w:rFonts w:cs="Arial"/>
        </w:rPr>
        <w:t>t</w:t>
      </w:r>
      <w:r w:rsidRPr="002530CF">
        <w:rPr>
          <w:rFonts w:cs="Arial"/>
        </w:rPr>
        <w:t xml:space="preserve"> a minimum</w:t>
      </w:r>
      <w:r w:rsidR="00DD7298">
        <w:rPr>
          <w:rFonts w:cs="Arial"/>
        </w:rPr>
        <w:t>,</w:t>
      </w:r>
      <w:r w:rsidRPr="002530CF">
        <w:rPr>
          <w:rFonts w:cs="Arial"/>
        </w:rPr>
        <w:t xml:space="preserve"> you will consider holding (but not limited to)</w:t>
      </w:r>
      <w:r w:rsidR="00DD7298">
        <w:rPr>
          <w:rFonts w:cs="Arial"/>
        </w:rPr>
        <w:t xml:space="preserve"> </w:t>
      </w:r>
      <w:r w:rsidR="00DD7298">
        <w:t>p</w:t>
      </w:r>
      <w:r w:rsidRPr="002530CF">
        <w:t>ublic liability</w:t>
      </w:r>
      <w:r w:rsidR="00DD7298">
        <w:t>, m</w:t>
      </w:r>
      <w:r w:rsidRPr="002530CF">
        <w:t>aterial damage</w:t>
      </w:r>
      <w:r w:rsidR="00DD7298">
        <w:t>, d</w:t>
      </w:r>
      <w:r w:rsidRPr="002530CF">
        <w:t>irectors’ and officers’</w:t>
      </w:r>
      <w:r w:rsidR="00DD7298">
        <w:t>, b</w:t>
      </w:r>
      <w:r w:rsidRPr="002530CF">
        <w:t>usiness interruption</w:t>
      </w:r>
      <w:r w:rsidR="00DD7298">
        <w:t xml:space="preserve"> and v</w:t>
      </w:r>
      <w:r w:rsidRPr="002530CF">
        <w:t>ehicle, asset and property insurance (for those owned by the provider).</w:t>
      </w:r>
    </w:p>
    <w:p w14:paraId="2E4FA26A" w14:textId="453E291C" w:rsidR="00DD7298" w:rsidRDefault="002530CF" w:rsidP="002530CF">
      <w:pPr>
        <w:pStyle w:val="HUDBody"/>
        <w:rPr>
          <w:rFonts w:cs="Arial"/>
        </w:rPr>
      </w:pPr>
      <w:r w:rsidRPr="002530CF">
        <w:rPr>
          <w:rFonts w:cs="Arial"/>
        </w:rPr>
        <w:t>In the first instance, when damage has occurred to your property and the household agrees they are responsible, you should make a claim through the security deposit grant claim process</w:t>
      </w:r>
      <w:r>
        <w:rPr>
          <w:rStyle w:val="FootnoteReference"/>
          <w:rFonts w:cs="Arial"/>
        </w:rPr>
        <w:footnoteReference w:id="5"/>
      </w:r>
      <w:r w:rsidRPr="002530CF">
        <w:rPr>
          <w:rFonts w:cs="Arial"/>
        </w:rPr>
        <w:t xml:space="preserve"> to access the security deposit. </w:t>
      </w:r>
    </w:p>
    <w:p w14:paraId="59014014" w14:textId="4FB841AB" w:rsidR="00DD7298" w:rsidRDefault="00DD7298" w:rsidP="002530CF">
      <w:pPr>
        <w:pStyle w:val="HUDBody"/>
        <w:rPr>
          <w:rFonts w:cs="Arial"/>
        </w:rPr>
      </w:pPr>
      <w:r>
        <w:rPr>
          <w:rFonts w:cs="Arial"/>
        </w:rPr>
        <w:t>W</w:t>
      </w:r>
      <w:r w:rsidR="002530CF" w:rsidRPr="002530CF">
        <w:rPr>
          <w:rFonts w:cs="Arial"/>
        </w:rPr>
        <w:t xml:space="preserve">here the amount is more than the security deposit, you should make an insurance claim. </w:t>
      </w:r>
    </w:p>
    <w:p w14:paraId="3065C390" w14:textId="298C737F" w:rsidR="002530CF" w:rsidRPr="002530CF" w:rsidRDefault="008D743E" w:rsidP="002530CF">
      <w:pPr>
        <w:pStyle w:val="HUDBody"/>
        <w:rPr>
          <w:rFonts w:cs="Arial"/>
        </w:rPr>
      </w:pPr>
      <w:r>
        <w:rPr>
          <w:rFonts w:cs="Arial"/>
        </w:rPr>
        <w:t>I</w:t>
      </w:r>
      <w:r w:rsidR="002530CF" w:rsidRPr="002530CF">
        <w:rPr>
          <w:rFonts w:cs="Arial"/>
        </w:rPr>
        <w:t xml:space="preserve">f the first two options are not successful or enough to cover the damage, you can make a claim from </w:t>
      </w:r>
      <w:r w:rsidR="00DD7298">
        <w:rPr>
          <w:rFonts w:cs="Arial"/>
        </w:rPr>
        <w:t>us</w:t>
      </w:r>
      <w:r w:rsidR="00DD7298" w:rsidRPr="002530CF">
        <w:rPr>
          <w:rFonts w:cs="Arial"/>
        </w:rPr>
        <w:t xml:space="preserve"> </w:t>
      </w:r>
      <w:r w:rsidR="002530CF" w:rsidRPr="002530CF">
        <w:rPr>
          <w:rFonts w:cs="Arial"/>
        </w:rPr>
        <w:t>through your services agreement (see below under ‘</w:t>
      </w:r>
      <w:r w:rsidR="00DD7298">
        <w:rPr>
          <w:rFonts w:cs="Arial"/>
        </w:rPr>
        <w:t>c</w:t>
      </w:r>
      <w:r w:rsidR="002530CF" w:rsidRPr="002530CF">
        <w:rPr>
          <w:rFonts w:cs="Arial"/>
        </w:rPr>
        <w:t xml:space="preserve">osts covered by the security deposit’ for more detail).   </w:t>
      </w:r>
    </w:p>
    <w:p w14:paraId="4B0C2E99" w14:textId="0C3785EA" w:rsidR="002530CF" w:rsidRPr="002530CF" w:rsidRDefault="002530CF" w:rsidP="002530CF">
      <w:pPr>
        <w:pStyle w:val="HUDHeading2"/>
      </w:pPr>
      <w:bookmarkStart w:id="44" w:name="_Toc208995931"/>
      <w:r w:rsidRPr="002530CF">
        <w:t xml:space="preserve">Security </w:t>
      </w:r>
      <w:r w:rsidR="00DD7298">
        <w:t>d</w:t>
      </w:r>
      <w:r w:rsidRPr="002530CF">
        <w:t>eposit</w:t>
      </w:r>
      <w:bookmarkEnd w:id="44"/>
    </w:p>
    <w:p w14:paraId="2D6481C5" w14:textId="366C0084" w:rsidR="002530CF" w:rsidRPr="002530CF" w:rsidRDefault="002530CF" w:rsidP="002530CF">
      <w:pPr>
        <w:pStyle w:val="HUDBody"/>
        <w:rPr>
          <w:rFonts w:cs="Arial"/>
        </w:rPr>
      </w:pPr>
      <w:r w:rsidRPr="002530CF">
        <w:rPr>
          <w:rFonts w:cs="Arial"/>
        </w:rPr>
        <w:t xml:space="preserve">A security deposit is to help safeguard you in the event there are losses or damage caused by the household, guests or visitors. If the household has been granted a security deposit by MSD, the amount </w:t>
      </w:r>
      <w:r w:rsidR="008D743E">
        <w:rPr>
          <w:rFonts w:cs="Arial"/>
        </w:rPr>
        <w:t>can</w:t>
      </w:r>
      <w:r w:rsidRPr="002530CF">
        <w:rPr>
          <w:rFonts w:cs="Arial"/>
        </w:rPr>
        <w:t xml:space="preserve"> be claimed, if required, during or at the end of the household’s stay, provided the household agrees. It can’t be used by you or the household for any other purpose. </w:t>
      </w:r>
    </w:p>
    <w:p w14:paraId="183FFEC2" w14:textId="31A148A9" w:rsidR="002530CF" w:rsidRDefault="002530CF" w:rsidP="002530CF">
      <w:pPr>
        <w:pStyle w:val="HUDBody"/>
        <w:rPr>
          <w:rFonts w:cs="Arial"/>
        </w:rPr>
      </w:pPr>
      <w:r w:rsidRPr="002530CF">
        <w:rPr>
          <w:rFonts w:cs="Arial"/>
        </w:rPr>
        <w:t xml:space="preserve">You can make a claim against the security deposit only if the forms in 3.4 were completed and submitted </w:t>
      </w:r>
      <w:r w:rsidR="000B3225">
        <w:rPr>
          <w:rFonts w:cs="Arial"/>
        </w:rPr>
        <w:t>on the</w:t>
      </w:r>
      <w:r w:rsidRPr="002530CF">
        <w:rPr>
          <w:rFonts w:cs="Arial"/>
        </w:rPr>
        <w:t xml:space="preserve"> THVM at the beginning of the household’s stay. This includes identifying</w:t>
      </w:r>
      <w:r>
        <w:rPr>
          <w:rFonts w:cs="Arial"/>
        </w:rPr>
        <w:t xml:space="preserve"> </w:t>
      </w:r>
      <w:r w:rsidRPr="002530CF">
        <w:rPr>
          <w:rFonts w:cs="Arial"/>
        </w:rPr>
        <w:t xml:space="preserve">the amount of the security deposit in </w:t>
      </w:r>
      <w:r w:rsidR="000B3225">
        <w:rPr>
          <w:rFonts w:cs="Arial"/>
        </w:rPr>
        <w:t xml:space="preserve">the </w:t>
      </w:r>
      <w:r w:rsidRPr="002530CF">
        <w:rPr>
          <w:rFonts w:cs="Arial"/>
        </w:rPr>
        <w:t>‘</w:t>
      </w:r>
      <w:r w:rsidR="000B3225">
        <w:rPr>
          <w:rFonts w:cs="Arial"/>
        </w:rPr>
        <w:t>c</w:t>
      </w:r>
      <w:r w:rsidRPr="002530CF">
        <w:rPr>
          <w:rFonts w:cs="Arial"/>
        </w:rPr>
        <w:t xml:space="preserve">omments’ field in </w:t>
      </w:r>
      <w:r w:rsidR="000B3225">
        <w:rPr>
          <w:rFonts w:cs="Arial"/>
        </w:rPr>
        <w:t xml:space="preserve">the </w:t>
      </w:r>
      <w:r w:rsidRPr="002530CF">
        <w:rPr>
          <w:rFonts w:cs="Arial"/>
        </w:rPr>
        <w:t>THVM when making a placement (</w:t>
      </w:r>
      <w:hyperlink w:anchor="AP7" w:history="1">
        <w:r w:rsidR="00262CD8">
          <w:rPr>
            <w:rStyle w:val="Hyperlink"/>
            <w:rFonts w:cs="Arial"/>
          </w:rPr>
          <w:t>s</w:t>
        </w:r>
        <w:r w:rsidR="00262CD8" w:rsidRPr="002A61F3">
          <w:rPr>
            <w:rStyle w:val="Hyperlink"/>
            <w:rFonts w:cs="Arial"/>
          </w:rPr>
          <w:t>ee appendix seven</w:t>
        </w:r>
      </w:hyperlink>
      <w:r w:rsidRPr="002530CF">
        <w:rPr>
          <w:rFonts w:cs="Arial"/>
        </w:rPr>
        <w:t>).</w:t>
      </w:r>
    </w:p>
    <w:p w14:paraId="6A1D0CD9" w14:textId="21A05C07" w:rsidR="002530CF" w:rsidRPr="002530CF" w:rsidRDefault="002530CF" w:rsidP="002530CF">
      <w:pPr>
        <w:pStyle w:val="HUDHeading2"/>
      </w:pPr>
      <w:bookmarkStart w:id="45" w:name="_Toc208995932"/>
      <w:r w:rsidRPr="002530CF">
        <w:t>MSD must approve security deposit grant amount</w:t>
      </w:r>
      <w:bookmarkEnd w:id="45"/>
    </w:p>
    <w:p w14:paraId="7782DFC2" w14:textId="01C4B0B8" w:rsidR="002530CF" w:rsidRPr="002530CF" w:rsidRDefault="002530CF" w:rsidP="002530CF">
      <w:pPr>
        <w:pStyle w:val="HUDBody"/>
        <w:rPr>
          <w:rFonts w:cs="Arial"/>
        </w:rPr>
      </w:pPr>
      <w:r w:rsidRPr="002530CF">
        <w:rPr>
          <w:rFonts w:cs="Arial"/>
        </w:rPr>
        <w:t xml:space="preserve">MSD will </w:t>
      </w:r>
      <w:r w:rsidR="00252427">
        <w:rPr>
          <w:rFonts w:cs="Arial"/>
        </w:rPr>
        <w:t>decide</w:t>
      </w:r>
      <w:r w:rsidRPr="002530CF">
        <w:rPr>
          <w:rFonts w:cs="Arial"/>
        </w:rPr>
        <w:t xml:space="preserve"> whether to approve the security deposit for a household, generally before the household starts its stay. </w:t>
      </w:r>
    </w:p>
    <w:p w14:paraId="72CF0A23" w14:textId="5EE99D87" w:rsidR="002530CF" w:rsidRDefault="002530CF" w:rsidP="002530CF">
      <w:pPr>
        <w:pStyle w:val="HUDBody"/>
        <w:rPr>
          <w:rFonts w:cs="Arial"/>
        </w:rPr>
      </w:pPr>
      <w:r w:rsidRPr="002530CF">
        <w:rPr>
          <w:rFonts w:cs="Arial"/>
        </w:rPr>
        <w:lastRenderedPageBreak/>
        <w:t>Before doing so, MSD must be satisfied the amount of security deposit required by you is reasonable. MSD has guidelines for providers on the maximum amount usually granted.</w:t>
      </w:r>
    </w:p>
    <w:p w14:paraId="0D3B7ACB" w14:textId="4CEC6C79" w:rsidR="000B3225" w:rsidRPr="002530CF" w:rsidRDefault="000B3225" w:rsidP="002530CF">
      <w:pPr>
        <w:pStyle w:val="HUDBody"/>
        <w:rPr>
          <w:rFonts w:cs="Arial"/>
        </w:rPr>
      </w:pPr>
      <w:hyperlink r:id="rId37" w:history="1">
        <w:r w:rsidRPr="000B3225">
          <w:rPr>
            <w:rStyle w:val="Hyperlink"/>
            <w:rFonts w:cs="Arial"/>
          </w:rPr>
          <w:t>Security deposit must be a reasonable amount (Work and Income)</w:t>
        </w:r>
      </w:hyperlink>
    </w:p>
    <w:p w14:paraId="170089A7" w14:textId="0D70D3FD" w:rsidR="002A61F3" w:rsidRPr="002530CF" w:rsidRDefault="002530CF" w:rsidP="002530CF">
      <w:pPr>
        <w:pStyle w:val="HUDBody"/>
        <w:rPr>
          <w:rFonts w:cs="Arial"/>
        </w:rPr>
      </w:pPr>
      <w:r w:rsidRPr="002530CF">
        <w:rPr>
          <w:rFonts w:cs="Arial"/>
        </w:rPr>
        <w:t>You will need to advise MSD through</w:t>
      </w:r>
      <w:r w:rsidR="000B3225">
        <w:rPr>
          <w:rFonts w:cs="Arial"/>
        </w:rPr>
        <w:t xml:space="preserve"> the</w:t>
      </w:r>
      <w:r w:rsidRPr="002530CF">
        <w:rPr>
          <w:rFonts w:cs="Arial"/>
        </w:rPr>
        <w:t xml:space="preserve"> THVM of the security deposit amount you have agreed with the household. This is done in the comments section when making a placement. If the required security deposit exceeds the maximum amount in MSD’s guidelines, you will need to provide reasons for this. </w:t>
      </w:r>
      <w:r w:rsidR="004C4001">
        <w:rPr>
          <w:rFonts w:cs="Arial"/>
        </w:rPr>
        <w:t>F</w:t>
      </w:r>
      <w:r w:rsidRPr="002530CF">
        <w:rPr>
          <w:rFonts w:cs="Arial"/>
        </w:rPr>
        <w:t>or a screenshot</w:t>
      </w:r>
      <w:r w:rsidR="004C4001">
        <w:rPr>
          <w:rFonts w:cs="Arial"/>
        </w:rPr>
        <w:t xml:space="preserve"> see </w:t>
      </w:r>
      <w:hyperlink w:anchor="AP7" w:history="1">
        <w:r w:rsidR="004C4001">
          <w:rPr>
            <w:rStyle w:val="Hyperlink"/>
            <w:rFonts w:cs="Arial"/>
          </w:rPr>
          <w:t>a</w:t>
        </w:r>
        <w:r w:rsidR="002A61F3" w:rsidRPr="002A61F3">
          <w:rPr>
            <w:rStyle w:val="Hyperlink"/>
            <w:rFonts w:cs="Arial"/>
          </w:rPr>
          <w:t>ppendix seven</w:t>
        </w:r>
      </w:hyperlink>
      <w:r w:rsidR="004C4001">
        <w:t>.</w:t>
      </w:r>
    </w:p>
    <w:p w14:paraId="19E73547" w14:textId="6ACEF6BB" w:rsidR="002530CF" w:rsidRPr="002530CF" w:rsidRDefault="002530CF" w:rsidP="002530CF">
      <w:pPr>
        <w:pStyle w:val="HUDBody"/>
        <w:rPr>
          <w:rFonts w:cs="Arial"/>
        </w:rPr>
      </w:pPr>
      <w:r w:rsidRPr="002530CF">
        <w:rPr>
          <w:rFonts w:cs="Arial"/>
        </w:rPr>
        <w:t xml:space="preserve">Depending on the reason given, MSD may contact you for </w:t>
      </w:r>
      <w:r w:rsidR="000B3225">
        <w:rPr>
          <w:rFonts w:cs="Arial"/>
        </w:rPr>
        <w:t>more</w:t>
      </w:r>
      <w:r w:rsidR="000B3225" w:rsidRPr="002530CF">
        <w:rPr>
          <w:rFonts w:cs="Arial"/>
        </w:rPr>
        <w:t xml:space="preserve"> </w:t>
      </w:r>
      <w:r w:rsidRPr="002530CF">
        <w:rPr>
          <w:rFonts w:cs="Arial"/>
        </w:rPr>
        <w:t xml:space="preserve">information before deciding </w:t>
      </w:r>
      <w:r w:rsidR="00252427">
        <w:rPr>
          <w:rFonts w:cs="Arial"/>
        </w:rPr>
        <w:t>if</w:t>
      </w:r>
      <w:r w:rsidR="00252427" w:rsidRPr="002530CF">
        <w:rPr>
          <w:rFonts w:cs="Arial"/>
        </w:rPr>
        <w:t xml:space="preserve"> </w:t>
      </w:r>
      <w:r w:rsidRPr="002530CF">
        <w:rPr>
          <w:rFonts w:cs="Arial"/>
        </w:rPr>
        <w:t>a grant can be approved.</w:t>
      </w:r>
    </w:p>
    <w:p w14:paraId="55F3A288" w14:textId="77777777" w:rsidR="002530CF" w:rsidRPr="002530CF" w:rsidRDefault="002530CF" w:rsidP="002530CF">
      <w:pPr>
        <w:pStyle w:val="HUDHeading2"/>
      </w:pPr>
      <w:bookmarkStart w:id="46" w:name="_Toc208995933"/>
      <w:r w:rsidRPr="002530CF">
        <w:t>Claiming for loss or damage under the security deposit</w:t>
      </w:r>
      <w:bookmarkEnd w:id="46"/>
    </w:p>
    <w:p w14:paraId="7EAF2F04" w14:textId="7BD53EE3" w:rsidR="002530CF" w:rsidRPr="002530CF" w:rsidRDefault="002530CF" w:rsidP="002530CF">
      <w:pPr>
        <w:pStyle w:val="HUDBody"/>
        <w:rPr>
          <w:rFonts w:cs="Arial"/>
        </w:rPr>
      </w:pPr>
      <w:r w:rsidRPr="002530CF">
        <w:rPr>
          <w:rFonts w:cs="Arial"/>
        </w:rPr>
        <w:t xml:space="preserve">If household </w:t>
      </w:r>
      <w:r w:rsidR="000B3225">
        <w:rPr>
          <w:rFonts w:cs="Arial"/>
        </w:rPr>
        <w:t xml:space="preserve">member </w:t>
      </w:r>
      <w:r w:rsidRPr="002530CF">
        <w:rPr>
          <w:rFonts w:cs="Arial"/>
        </w:rPr>
        <w:t xml:space="preserve">or visitor has caused loss or damage, you must discuss </w:t>
      </w:r>
      <w:r w:rsidR="006E6C45">
        <w:rPr>
          <w:rFonts w:cs="Arial"/>
        </w:rPr>
        <w:t>it</w:t>
      </w:r>
      <w:r w:rsidR="006E6C45" w:rsidRPr="002530CF">
        <w:rPr>
          <w:rFonts w:cs="Arial"/>
        </w:rPr>
        <w:t xml:space="preserve"> </w:t>
      </w:r>
      <w:r w:rsidRPr="002530CF">
        <w:rPr>
          <w:rFonts w:cs="Arial"/>
        </w:rPr>
        <w:t xml:space="preserve">with them. A household is responsible for a visitor’s damage. If the household member agrees there has been damage, you must complete a security deposit </w:t>
      </w:r>
      <w:r w:rsidR="000B3225" w:rsidRPr="003639BD">
        <w:t>claim form</w:t>
      </w:r>
      <w:r w:rsidRPr="002530CF">
        <w:rPr>
          <w:rFonts w:cs="Arial"/>
        </w:rPr>
        <w:t xml:space="preserve"> and submit it to a local Work and Income office, along with an invoice for MSD to pay.</w:t>
      </w:r>
    </w:p>
    <w:p w14:paraId="21ABB713" w14:textId="3EDA80ED" w:rsidR="002530CF" w:rsidRPr="002530CF" w:rsidRDefault="002530CF" w:rsidP="002530CF">
      <w:pPr>
        <w:pStyle w:val="HUDBody"/>
        <w:rPr>
          <w:rFonts w:cs="Arial"/>
        </w:rPr>
      </w:pPr>
      <w:r w:rsidRPr="002530CF">
        <w:rPr>
          <w:rFonts w:cs="Arial"/>
        </w:rPr>
        <w:t xml:space="preserve">Work and Income has more </w:t>
      </w:r>
      <w:r w:rsidR="000B3225" w:rsidRPr="003639BD">
        <w:t>information on the security deposit</w:t>
      </w:r>
      <w:r w:rsidR="00252427">
        <w:rPr>
          <w:rFonts w:cs="Arial"/>
        </w:rPr>
        <w:t xml:space="preserve"> on their website</w:t>
      </w:r>
      <w:r w:rsidRPr="002530CF">
        <w:rPr>
          <w:rFonts w:cs="Arial"/>
        </w:rPr>
        <w:t xml:space="preserve">. </w:t>
      </w:r>
    </w:p>
    <w:p w14:paraId="539B08E0" w14:textId="6946B1E9" w:rsidR="002530CF" w:rsidRPr="002530CF" w:rsidRDefault="002530CF" w:rsidP="002530CF">
      <w:pPr>
        <w:pStyle w:val="HUDBody"/>
        <w:rPr>
          <w:rFonts w:cs="Arial"/>
        </w:rPr>
      </w:pPr>
      <w:r w:rsidRPr="002530CF">
        <w:rPr>
          <w:rFonts w:cs="Arial"/>
        </w:rPr>
        <w:t xml:space="preserve">If the household fails to formally ‘check out’ of the property, you are not required to discuss the costs of any damage with the client. You can submit the declaration and invoice in person at the local Work and Income office or upload it through </w:t>
      </w:r>
      <w:r w:rsidR="006D0914">
        <w:rPr>
          <w:rFonts w:cs="Arial"/>
        </w:rPr>
        <w:t xml:space="preserve">the </w:t>
      </w:r>
      <w:r w:rsidRPr="002530CF">
        <w:rPr>
          <w:rFonts w:cs="Arial"/>
        </w:rPr>
        <w:t>THVM. On receipt of the invoice and declaration, the local Work and Income office can pay you up to the amount of the security deposit originally approved at the start of the household’s stay.</w:t>
      </w:r>
    </w:p>
    <w:p w14:paraId="7DB06352" w14:textId="5F90E4AE" w:rsidR="002530CF" w:rsidRDefault="002530CF" w:rsidP="002530CF">
      <w:pPr>
        <w:pStyle w:val="HUDBody"/>
        <w:rPr>
          <w:rFonts w:cs="Arial"/>
        </w:rPr>
      </w:pPr>
      <w:r w:rsidRPr="002530CF">
        <w:rPr>
          <w:rFonts w:cs="Arial"/>
        </w:rPr>
        <w:t xml:space="preserve">Where a client has ended their stay with you, you have up to three months to make a claim with MSD for loss or damage under the security deposit, using the </w:t>
      </w:r>
      <w:r w:rsidR="000B3225" w:rsidRPr="003639BD">
        <w:t>security deposit claim form</w:t>
      </w:r>
      <w:r w:rsidRPr="002530CF">
        <w:rPr>
          <w:rFonts w:cs="Arial"/>
        </w:rPr>
        <w:t>.</w:t>
      </w:r>
    </w:p>
    <w:p w14:paraId="2E901750" w14:textId="0B632FD5" w:rsidR="00252427" w:rsidRPr="002530CF" w:rsidRDefault="006E6C45" w:rsidP="00252427">
      <w:pPr>
        <w:pStyle w:val="HUDBody"/>
        <w:rPr>
          <w:rFonts w:cs="Arial"/>
        </w:rPr>
      </w:pPr>
      <w:hyperlink r:id="rId38" w:history="1">
        <w:r>
          <w:rPr>
            <w:rStyle w:val="Hyperlink"/>
            <w:rFonts w:cs="Arial"/>
          </w:rPr>
          <w:t>Security deposits (workandincome.govt.nz)</w:t>
        </w:r>
      </w:hyperlink>
    </w:p>
    <w:p w14:paraId="2E26507F" w14:textId="4EAD70E2" w:rsidR="000B3225" w:rsidRDefault="000B3225" w:rsidP="002530CF">
      <w:pPr>
        <w:pStyle w:val="HUDBody"/>
        <w:rPr>
          <w:rFonts w:cs="Arial"/>
        </w:rPr>
      </w:pPr>
      <w:hyperlink r:id="rId39" w:history="1">
        <w:r w:rsidRPr="00BF7E49">
          <w:rPr>
            <w:rStyle w:val="Hyperlink"/>
            <w:rFonts w:cs="Arial"/>
          </w:rPr>
          <w:t>Security deposit claim form</w:t>
        </w:r>
      </w:hyperlink>
      <w:r w:rsidRPr="00BF7E49">
        <w:rPr>
          <w:rFonts w:cs="Arial"/>
        </w:rPr>
        <w:t xml:space="preserve"> (195KB, pdf)</w:t>
      </w:r>
    </w:p>
    <w:p w14:paraId="72DF3AD8" w14:textId="77777777" w:rsidR="002530CF" w:rsidRPr="002530CF" w:rsidRDefault="002530CF" w:rsidP="002530CF">
      <w:pPr>
        <w:pStyle w:val="HUDHeading2"/>
      </w:pPr>
      <w:bookmarkStart w:id="47" w:name="_Toc208995934"/>
      <w:r w:rsidRPr="002530CF">
        <w:t>Costs covered by the security deposit</w:t>
      </w:r>
      <w:bookmarkEnd w:id="47"/>
    </w:p>
    <w:p w14:paraId="78E16C9F" w14:textId="773766EC" w:rsidR="002530CF" w:rsidRPr="002530CF" w:rsidRDefault="002530CF" w:rsidP="002530CF">
      <w:pPr>
        <w:pStyle w:val="HUDBody"/>
        <w:rPr>
          <w:rFonts w:cs="Arial"/>
        </w:rPr>
      </w:pPr>
      <w:r w:rsidRPr="002530CF">
        <w:rPr>
          <w:rFonts w:cs="Arial"/>
        </w:rPr>
        <w:t>The security deposit can cover actual and reasonable costs such as, but not limited to, any breakage or damage caused by the household (or their visitors) to the property, whether intentional or accidental, such as damage to walls, doors, curtains or furnishings</w:t>
      </w:r>
      <w:r w:rsidR="006D0914">
        <w:rPr>
          <w:rFonts w:cs="Arial"/>
        </w:rPr>
        <w:t>. T</w:t>
      </w:r>
      <w:r w:rsidRPr="002530CF">
        <w:rPr>
          <w:rFonts w:cs="Arial"/>
        </w:rPr>
        <w:t>his does not include deterioration</w:t>
      </w:r>
      <w:r w:rsidR="00252427">
        <w:rPr>
          <w:rFonts w:cs="Arial"/>
        </w:rPr>
        <w:t>,</w:t>
      </w:r>
      <w:r w:rsidRPr="002530CF">
        <w:rPr>
          <w:rFonts w:cs="Arial"/>
        </w:rPr>
        <w:t xml:space="preserve"> which is general wear and tear, as this is usually a property owner’s responsibility.</w:t>
      </w:r>
    </w:p>
    <w:p w14:paraId="7B110F36" w14:textId="763F8840" w:rsidR="002530CF" w:rsidRPr="002530CF" w:rsidRDefault="002530CF" w:rsidP="002530CF">
      <w:pPr>
        <w:pStyle w:val="HUDBody"/>
        <w:rPr>
          <w:rFonts w:cs="Arial"/>
        </w:rPr>
      </w:pPr>
      <w:r w:rsidRPr="002530CF">
        <w:rPr>
          <w:rFonts w:cs="Arial"/>
        </w:rPr>
        <w:lastRenderedPageBreak/>
        <w:t>You must check for any loss or damage against photographs of the property that were taken when the transitional housing service started</w:t>
      </w:r>
      <w:r w:rsidR="00252427">
        <w:rPr>
          <w:rFonts w:cs="Arial"/>
        </w:rPr>
        <w:t xml:space="preserve"> </w:t>
      </w:r>
      <w:r w:rsidRPr="002530CF">
        <w:rPr>
          <w:rFonts w:cs="Arial"/>
        </w:rPr>
        <w:t xml:space="preserve">and discuss these with the household before they leave the property. </w:t>
      </w:r>
    </w:p>
    <w:p w14:paraId="7C56A38A" w14:textId="70CCC7FA" w:rsidR="002530CF" w:rsidRDefault="002530CF" w:rsidP="002530CF">
      <w:pPr>
        <w:pStyle w:val="HUDBody"/>
        <w:rPr>
          <w:rFonts w:cs="Arial"/>
        </w:rPr>
      </w:pPr>
      <w:r w:rsidRPr="002530CF">
        <w:rPr>
          <w:rFonts w:cs="Arial"/>
        </w:rPr>
        <w:t xml:space="preserve">If there are any losses </w:t>
      </w:r>
      <w:r w:rsidR="006D0914">
        <w:rPr>
          <w:rFonts w:cs="Arial"/>
        </w:rPr>
        <w:t>from</w:t>
      </w:r>
      <w:r w:rsidRPr="002530CF">
        <w:rPr>
          <w:rFonts w:cs="Arial"/>
        </w:rPr>
        <w:t xml:space="preserve"> failure of the household member to meet his or her obligations to you under the housing agreement, the security deposit can cover these too. </w:t>
      </w:r>
      <w:r w:rsidR="006D0914">
        <w:rPr>
          <w:rFonts w:cs="Arial"/>
        </w:rPr>
        <w:t>Examples include:</w:t>
      </w:r>
    </w:p>
    <w:p w14:paraId="01AE0AC6" w14:textId="2ED7DEEF" w:rsidR="002530CF" w:rsidRPr="002530CF" w:rsidRDefault="00252427" w:rsidP="005E21D3">
      <w:pPr>
        <w:pStyle w:val="HUDBullets"/>
      </w:pPr>
      <w:r>
        <w:t>t</w:t>
      </w:r>
      <w:r w:rsidR="002530CF" w:rsidRPr="002530CF">
        <w:t>he cost of replacement of items (furnishings or fittings) that the household member has removed from the property</w:t>
      </w:r>
    </w:p>
    <w:p w14:paraId="0CE008E7" w14:textId="16D11548" w:rsidR="002530CF" w:rsidRPr="002530CF" w:rsidRDefault="00252427" w:rsidP="005E21D3">
      <w:pPr>
        <w:pStyle w:val="HUDBullets"/>
      </w:pPr>
      <w:r>
        <w:t>a</w:t>
      </w:r>
      <w:r w:rsidR="002530CF" w:rsidRPr="002530CF">
        <w:t xml:space="preserve">ny excessive cleaning charges </w:t>
      </w:r>
      <w:r>
        <w:t>from</w:t>
      </w:r>
      <w:r w:rsidR="002530CF" w:rsidRPr="002530CF">
        <w:t xml:space="preserve"> the property being left in an unacceptable state (this must be over and above the normal level of cleaning required)</w:t>
      </w:r>
    </w:p>
    <w:p w14:paraId="09C23787" w14:textId="639D9F3A" w:rsidR="002530CF" w:rsidRPr="002530CF" w:rsidRDefault="00252427" w:rsidP="005E21D3">
      <w:pPr>
        <w:pStyle w:val="HUDBullets"/>
      </w:pPr>
      <w:r>
        <w:t>h</w:t>
      </w:r>
      <w:r w:rsidR="002530CF" w:rsidRPr="002530CF">
        <w:t>ousehold contribution arrears (unpaid accommodation costs)</w:t>
      </w:r>
    </w:p>
    <w:p w14:paraId="7AD8E396" w14:textId="1C561641" w:rsidR="002530CF" w:rsidRPr="002530CF" w:rsidRDefault="00252427" w:rsidP="005E21D3">
      <w:pPr>
        <w:pStyle w:val="HUDBullets"/>
      </w:pPr>
      <w:r>
        <w:t>i</w:t>
      </w:r>
      <w:r w:rsidR="002530CF" w:rsidRPr="002530CF">
        <w:t>nsurance excess for a claim for damages</w:t>
      </w:r>
      <w:r w:rsidR="006D0914">
        <w:t xml:space="preserve"> or </w:t>
      </w:r>
      <w:r w:rsidR="002530CF" w:rsidRPr="002530CF">
        <w:t>loss</w:t>
      </w:r>
    </w:p>
    <w:p w14:paraId="6D9FF338" w14:textId="0C83F363" w:rsidR="002530CF" w:rsidRPr="002530CF" w:rsidRDefault="00252427" w:rsidP="005E21D3">
      <w:pPr>
        <w:pStyle w:val="HUDBullets"/>
      </w:pPr>
      <w:r>
        <w:t>c</w:t>
      </w:r>
      <w:r w:rsidR="002530CF" w:rsidRPr="002530CF">
        <w:t>ost of replacement property keys</w:t>
      </w:r>
      <w:r>
        <w:t>.</w:t>
      </w:r>
    </w:p>
    <w:p w14:paraId="2C429CB6" w14:textId="77777777" w:rsidR="002530CF" w:rsidRPr="002530CF" w:rsidRDefault="002530CF" w:rsidP="002530CF">
      <w:pPr>
        <w:pStyle w:val="HUDBody"/>
        <w:rPr>
          <w:rFonts w:cs="Arial"/>
        </w:rPr>
      </w:pPr>
      <w:r w:rsidRPr="002530CF">
        <w:rPr>
          <w:rFonts w:cs="Arial"/>
        </w:rPr>
        <w:t xml:space="preserve">If MSD pays any of the security deposit on the household’s behalf and the household doesn’t agree with the amount they’ve been charged, this will be a dispute between you and the household, not MSD.  </w:t>
      </w:r>
    </w:p>
    <w:p w14:paraId="1282C537" w14:textId="3D1CDBD5" w:rsidR="002530CF" w:rsidRPr="002530CF" w:rsidRDefault="002530CF" w:rsidP="002530CF">
      <w:pPr>
        <w:pStyle w:val="HUDBody"/>
        <w:rPr>
          <w:rFonts w:cs="Arial"/>
        </w:rPr>
      </w:pPr>
      <w:r w:rsidRPr="002530CF">
        <w:rPr>
          <w:rFonts w:cs="Arial"/>
        </w:rPr>
        <w:t xml:space="preserve">The household will need to resolve this dispute directly with you through your normal dispute resolution process. The IDR </w:t>
      </w:r>
      <w:r w:rsidR="006D0914">
        <w:rPr>
          <w:rFonts w:cs="Arial"/>
        </w:rPr>
        <w:t>s</w:t>
      </w:r>
      <w:r w:rsidRPr="002530CF">
        <w:rPr>
          <w:rFonts w:cs="Arial"/>
        </w:rPr>
        <w:t>ervice cannot be used to resolve disputes about the security deposit or household contributions.</w:t>
      </w:r>
    </w:p>
    <w:p w14:paraId="3DD49351" w14:textId="77777777" w:rsidR="002530CF" w:rsidRPr="002530CF" w:rsidRDefault="002530CF" w:rsidP="002530CF">
      <w:pPr>
        <w:pStyle w:val="HUDBody"/>
        <w:rPr>
          <w:rFonts w:cs="Arial"/>
        </w:rPr>
      </w:pPr>
      <w:r w:rsidRPr="002530CF">
        <w:rPr>
          <w:rFonts w:cs="Arial"/>
        </w:rPr>
        <w:t>The security deposit cannot be used to cover:</w:t>
      </w:r>
    </w:p>
    <w:p w14:paraId="1F245714" w14:textId="4A7581FA" w:rsidR="002530CF" w:rsidRPr="002530CF" w:rsidRDefault="006D0914" w:rsidP="005E21D3">
      <w:pPr>
        <w:pStyle w:val="HUDBullets"/>
      </w:pPr>
      <w:r>
        <w:t>t</w:t>
      </w:r>
      <w:r w:rsidR="002530CF" w:rsidRPr="002530CF">
        <w:t>elephone, internet or pay-television charges</w:t>
      </w:r>
    </w:p>
    <w:p w14:paraId="502D6D23" w14:textId="74A1A365" w:rsidR="002530CF" w:rsidRPr="002530CF" w:rsidRDefault="006D0914" w:rsidP="005E21D3">
      <w:pPr>
        <w:pStyle w:val="HUDBullets"/>
      </w:pPr>
      <w:r>
        <w:t>m</w:t>
      </w:r>
      <w:r w:rsidR="002530CF" w:rsidRPr="002530CF">
        <w:t>ini</w:t>
      </w:r>
      <w:r w:rsidR="00117F5B">
        <w:t xml:space="preserve"> </w:t>
      </w:r>
      <w:r w:rsidR="002530CF" w:rsidRPr="002530CF">
        <w:t>bar</w:t>
      </w:r>
    </w:p>
    <w:p w14:paraId="79C0AD81" w14:textId="247491CE" w:rsidR="002530CF" w:rsidRPr="002530CF" w:rsidRDefault="006D0914" w:rsidP="005E21D3">
      <w:pPr>
        <w:pStyle w:val="HUDBullets"/>
      </w:pPr>
      <w:r>
        <w:t>l</w:t>
      </w:r>
      <w:r w:rsidR="002530CF" w:rsidRPr="002530CF">
        <w:t>aundry charges</w:t>
      </w:r>
    </w:p>
    <w:p w14:paraId="6FCD2D3D" w14:textId="52F18648" w:rsidR="002530CF" w:rsidRPr="002530CF" w:rsidRDefault="006D0914" w:rsidP="005E21D3">
      <w:pPr>
        <w:pStyle w:val="HUDBullets"/>
      </w:pPr>
      <w:r>
        <w:t>m</w:t>
      </w:r>
      <w:r w:rsidR="002530CF" w:rsidRPr="002530CF">
        <w:t>eal charges</w:t>
      </w:r>
    </w:p>
    <w:p w14:paraId="2D4D7546" w14:textId="6445DAFE" w:rsidR="002530CF" w:rsidRPr="002530CF" w:rsidRDefault="006D0914" w:rsidP="005E21D3">
      <w:pPr>
        <w:pStyle w:val="HUDBullets"/>
      </w:pPr>
      <w:r>
        <w:t>s</w:t>
      </w:r>
      <w:r w:rsidR="002530CF" w:rsidRPr="002530CF">
        <w:t>torage of additional goods (for example, car parts, recreational equipment etc)</w:t>
      </w:r>
    </w:p>
    <w:p w14:paraId="0F98B881" w14:textId="7F106AF4" w:rsidR="002530CF" w:rsidRPr="002530CF" w:rsidRDefault="006D0914" w:rsidP="005E21D3">
      <w:pPr>
        <w:pStyle w:val="HUDBullets"/>
      </w:pPr>
      <w:r>
        <w:t>c</w:t>
      </w:r>
      <w:r w:rsidR="002530CF" w:rsidRPr="002530CF">
        <w:t>ar parking</w:t>
      </w:r>
    </w:p>
    <w:p w14:paraId="70EAD792" w14:textId="4DA5B1CF" w:rsidR="002530CF" w:rsidRPr="002530CF" w:rsidRDefault="006D0914" w:rsidP="005E21D3">
      <w:pPr>
        <w:pStyle w:val="HUDBullets"/>
      </w:pPr>
      <w:r>
        <w:t>p</w:t>
      </w:r>
      <w:r w:rsidR="002530CF" w:rsidRPr="002530CF">
        <w:t>ower charges</w:t>
      </w:r>
    </w:p>
    <w:p w14:paraId="7C5CEA68" w14:textId="54D504B6" w:rsidR="002530CF" w:rsidRPr="002530CF" w:rsidRDefault="006D0914" w:rsidP="005E21D3">
      <w:pPr>
        <w:pStyle w:val="HUDBullets"/>
      </w:pPr>
      <w:r>
        <w:t>m</w:t>
      </w:r>
      <w:r w:rsidR="002530CF" w:rsidRPr="002530CF">
        <w:t>ethamphetamine testing</w:t>
      </w:r>
    </w:p>
    <w:p w14:paraId="1399870E" w14:textId="0B22A485" w:rsidR="002530CF" w:rsidRPr="002530CF" w:rsidRDefault="006D0914" w:rsidP="005E21D3">
      <w:pPr>
        <w:pStyle w:val="HUDBullets"/>
      </w:pPr>
      <w:r>
        <w:t>w</w:t>
      </w:r>
      <w:r w:rsidR="002530CF" w:rsidRPr="002530CF">
        <w:t>ater charges.</w:t>
      </w:r>
    </w:p>
    <w:p w14:paraId="03DECD86" w14:textId="768D2EDE" w:rsidR="002530CF" w:rsidRPr="002530CF" w:rsidRDefault="002530CF" w:rsidP="002530CF">
      <w:pPr>
        <w:pStyle w:val="HUDBody"/>
        <w:rPr>
          <w:rFonts w:cs="Arial"/>
        </w:rPr>
      </w:pPr>
      <w:r w:rsidRPr="002530CF">
        <w:rPr>
          <w:rFonts w:cs="Arial"/>
        </w:rPr>
        <w:t xml:space="preserve">There are some costs you will not be able to invoice MSD </w:t>
      </w:r>
      <w:r w:rsidR="00117F5B">
        <w:rPr>
          <w:rFonts w:cs="Arial"/>
        </w:rPr>
        <w:t xml:space="preserve">for </w:t>
      </w:r>
      <w:r w:rsidRPr="002530CF">
        <w:rPr>
          <w:rFonts w:cs="Arial"/>
        </w:rPr>
        <w:t>under the security deposit, these include:</w:t>
      </w:r>
    </w:p>
    <w:p w14:paraId="157F5251" w14:textId="7ACB0312" w:rsidR="002530CF" w:rsidRPr="002530CF" w:rsidRDefault="006D0914" w:rsidP="005E21D3">
      <w:pPr>
        <w:pStyle w:val="HUDBullets"/>
      </w:pPr>
      <w:r>
        <w:t>m</w:t>
      </w:r>
      <w:r w:rsidR="002530CF" w:rsidRPr="002530CF">
        <w:t>ore than the agreed amount of the security deposit</w:t>
      </w:r>
    </w:p>
    <w:p w14:paraId="5085AF96" w14:textId="4B109957" w:rsidR="002530CF" w:rsidRPr="002530CF" w:rsidRDefault="006D0914" w:rsidP="005E21D3">
      <w:pPr>
        <w:pStyle w:val="HUDBullets"/>
      </w:pPr>
      <w:r>
        <w:t>l</w:t>
      </w:r>
      <w:r w:rsidR="002530CF" w:rsidRPr="002530CF">
        <w:t>oss or damage identified after a household has moved out of the property if they met with you and you inspected the property before they moved out</w:t>
      </w:r>
    </w:p>
    <w:p w14:paraId="33ADF63E" w14:textId="45A0C232" w:rsidR="002530CF" w:rsidRPr="002530CF" w:rsidRDefault="006D0914" w:rsidP="005E21D3">
      <w:pPr>
        <w:pStyle w:val="HUDBullets"/>
      </w:pPr>
      <w:r>
        <w:lastRenderedPageBreak/>
        <w:t>t</w:t>
      </w:r>
      <w:r w:rsidR="002530CF" w:rsidRPr="002530CF">
        <w:t>he cost of loss or damage</w:t>
      </w:r>
      <w:r>
        <w:t xml:space="preserve"> where the </w:t>
      </w:r>
      <w:r w:rsidRPr="002530CF">
        <w:t>household disagrees with the amount of</w:t>
      </w:r>
      <w:r>
        <w:t xml:space="preserve"> the damage</w:t>
      </w:r>
      <w:r w:rsidRPr="002530CF">
        <w:t xml:space="preserve"> or responsibility</w:t>
      </w:r>
    </w:p>
    <w:p w14:paraId="33CC7FD1" w14:textId="0F26FFB6" w:rsidR="002530CF" w:rsidRPr="002530CF" w:rsidRDefault="006D0914" w:rsidP="005E21D3">
      <w:pPr>
        <w:pStyle w:val="HUDBullets"/>
      </w:pPr>
      <w:r>
        <w:t>d</w:t>
      </w:r>
      <w:r w:rsidR="002530CF" w:rsidRPr="002530CF">
        <w:t>amage or loss that is older than three months</w:t>
      </w:r>
    </w:p>
    <w:p w14:paraId="47503FDB" w14:textId="58D0C145" w:rsidR="002530CF" w:rsidRPr="002530CF" w:rsidRDefault="006D0914" w:rsidP="005E21D3">
      <w:pPr>
        <w:pStyle w:val="HUDBullets"/>
      </w:pPr>
      <w:r>
        <w:t>w</w:t>
      </w:r>
      <w:r w:rsidR="002530CF" w:rsidRPr="002530CF">
        <w:t>here costs are not actual and reasonable</w:t>
      </w:r>
    </w:p>
    <w:p w14:paraId="6CAE809C" w14:textId="5658DD1F" w:rsidR="002530CF" w:rsidRPr="002530CF" w:rsidRDefault="002530CF" w:rsidP="005E21D3">
      <w:pPr>
        <w:pStyle w:val="HUDBullets"/>
      </w:pPr>
      <w:r w:rsidRPr="002530CF">
        <w:t xml:space="preserve">costs for fair wear and tear. </w:t>
      </w:r>
    </w:p>
    <w:p w14:paraId="6E7203C7" w14:textId="77777777" w:rsidR="00117F5B" w:rsidRDefault="002530CF" w:rsidP="002530CF">
      <w:pPr>
        <w:pStyle w:val="HUDBody"/>
        <w:rPr>
          <w:rFonts w:cs="Arial"/>
        </w:rPr>
      </w:pPr>
      <w:r w:rsidRPr="002530CF">
        <w:rPr>
          <w:rFonts w:cs="Arial"/>
        </w:rPr>
        <w:t>In these instances, you’ll need to follow this up with the household (or your insurance company where the amount is more than the security deposit), except where costs are for fair wear and tear.</w:t>
      </w:r>
    </w:p>
    <w:p w14:paraId="20534E34" w14:textId="59A2D7B8" w:rsidR="002530CF" w:rsidRDefault="002530CF" w:rsidP="002530CF">
      <w:pPr>
        <w:pStyle w:val="HUDBody"/>
        <w:rPr>
          <w:rFonts w:cs="Arial"/>
        </w:rPr>
      </w:pPr>
      <w:r w:rsidRPr="002530CF">
        <w:rPr>
          <w:rFonts w:cs="Arial"/>
        </w:rPr>
        <w:t xml:space="preserve"> Where a security deposit does not cover damage costs, you may be able to request maintenance costs from </w:t>
      </w:r>
      <w:r w:rsidR="006D0914">
        <w:rPr>
          <w:rFonts w:cs="Arial"/>
        </w:rPr>
        <w:t xml:space="preserve">us </w:t>
      </w:r>
      <w:r w:rsidRPr="002530CF">
        <w:rPr>
          <w:rFonts w:cs="Arial"/>
        </w:rPr>
        <w:t>up to the amount specified in your services</w:t>
      </w:r>
      <w:r>
        <w:rPr>
          <w:rFonts w:cs="Arial"/>
        </w:rPr>
        <w:t xml:space="preserve"> </w:t>
      </w:r>
      <w:r w:rsidRPr="002530CF">
        <w:rPr>
          <w:rFonts w:cs="Arial"/>
        </w:rPr>
        <w:t xml:space="preserve">agreement. </w:t>
      </w:r>
      <w:r w:rsidR="00252427">
        <w:rPr>
          <w:rFonts w:cs="Arial"/>
        </w:rPr>
        <w:t>Y</w:t>
      </w:r>
      <w:r w:rsidRPr="002530CF">
        <w:rPr>
          <w:rFonts w:cs="Arial"/>
        </w:rPr>
        <w:t xml:space="preserve">ou cannot claim </w:t>
      </w:r>
      <w:r w:rsidR="00E222A6">
        <w:rPr>
          <w:rFonts w:cs="Arial"/>
        </w:rPr>
        <w:t xml:space="preserve">unpaid </w:t>
      </w:r>
      <w:r w:rsidRPr="002530CF">
        <w:rPr>
          <w:rFonts w:cs="Arial"/>
        </w:rPr>
        <w:t>household contribution</w:t>
      </w:r>
      <w:r w:rsidR="00E222A6">
        <w:rPr>
          <w:rFonts w:cs="Arial"/>
        </w:rPr>
        <w:t>s</w:t>
      </w:r>
      <w:r w:rsidRPr="002530CF">
        <w:rPr>
          <w:rFonts w:cs="Arial"/>
        </w:rPr>
        <w:t xml:space="preserve"> from the maintenance costs. </w:t>
      </w:r>
    </w:p>
    <w:p w14:paraId="721AF236" w14:textId="77777777" w:rsidR="00252427" w:rsidRPr="002530CF" w:rsidRDefault="00252427" w:rsidP="002530CF">
      <w:pPr>
        <w:pStyle w:val="HUDBody"/>
        <w:rPr>
          <w:rFonts w:cs="Arial"/>
        </w:rPr>
      </w:pPr>
    </w:p>
    <w:p w14:paraId="36EBE7C6" w14:textId="3A14CA02" w:rsidR="002530CF" w:rsidRPr="002530CF" w:rsidRDefault="002530CF" w:rsidP="002530CF">
      <w:pPr>
        <w:pStyle w:val="HUDHeading1"/>
      </w:pPr>
      <w:bookmarkStart w:id="48" w:name="_Toc208995935"/>
      <w:r w:rsidRPr="002530CF">
        <w:t xml:space="preserve">4.6 Maintenance </w:t>
      </w:r>
      <w:r w:rsidR="006D0914">
        <w:t>c</w:t>
      </w:r>
      <w:r w:rsidRPr="002530CF">
        <w:t xml:space="preserve">ost </w:t>
      </w:r>
      <w:r w:rsidR="006D0914">
        <w:t>c</w:t>
      </w:r>
      <w:r w:rsidRPr="002530CF">
        <w:t xml:space="preserve">laims </w:t>
      </w:r>
      <w:r w:rsidR="006D0914">
        <w:t>from Te Tūāpapa Kura Kāinga</w:t>
      </w:r>
      <w:bookmarkEnd w:id="48"/>
    </w:p>
    <w:p w14:paraId="13276A54" w14:textId="00C792DC" w:rsidR="002530CF" w:rsidRPr="002530CF" w:rsidRDefault="002530CF" w:rsidP="002530CF">
      <w:pPr>
        <w:pStyle w:val="HUDBody"/>
        <w:rPr>
          <w:rFonts w:cs="Arial"/>
        </w:rPr>
      </w:pPr>
      <w:r w:rsidRPr="002530CF">
        <w:rPr>
          <w:rFonts w:cs="Arial"/>
        </w:rPr>
        <w:t xml:space="preserve">If the security deposit is insufficient to cover damages, you may be able to claim </w:t>
      </w:r>
      <w:r w:rsidR="006D0914">
        <w:rPr>
          <w:rFonts w:cs="Arial"/>
        </w:rPr>
        <w:t>m</w:t>
      </w:r>
      <w:r w:rsidRPr="002530CF">
        <w:rPr>
          <w:rFonts w:cs="Arial"/>
        </w:rPr>
        <w:t xml:space="preserve">aintenance </w:t>
      </w:r>
      <w:r w:rsidR="006D0914">
        <w:rPr>
          <w:rFonts w:cs="Arial"/>
        </w:rPr>
        <w:t>c</w:t>
      </w:r>
      <w:r w:rsidRPr="002530CF">
        <w:rPr>
          <w:rFonts w:cs="Arial"/>
        </w:rPr>
        <w:t xml:space="preserve">osts from </w:t>
      </w:r>
      <w:r w:rsidR="006D0914">
        <w:rPr>
          <w:rFonts w:cs="Arial"/>
        </w:rPr>
        <w:t>us.</w:t>
      </w:r>
    </w:p>
    <w:p w14:paraId="6C8030DA" w14:textId="77777777" w:rsidR="005E21D3" w:rsidRDefault="002530CF" w:rsidP="003639BD">
      <w:pPr>
        <w:pStyle w:val="HUDBullets"/>
        <w:numPr>
          <w:ilvl w:val="0"/>
          <w:numId w:val="0"/>
        </w:numPr>
        <w:ind w:left="547" w:hanging="547"/>
      </w:pPr>
      <w:r w:rsidRPr="002530CF">
        <w:t xml:space="preserve">For claims up to $5,000 (GST exclusive): </w:t>
      </w:r>
    </w:p>
    <w:p w14:paraId="44C2E927" w14:textId="243D53F8" w:rsidR="005E21D3" w:rsidRDefault="006D0914" w:rsidP="003639BD">
      <w:pPr>
        <w:pStyle w:val="HUDBullets"/>
      </w:pPr>
      <w:r>
        <w:t>p</w:t>
      </w:r>
      <w:r w:rsidR="002530CF" w:rsidRPr="005E21D3">
        <w:t>rovide a brief statement of the incident</w:t>
      </w:r>
    </w:p>
    <w:p w14:paraId="3B3C4F30" w14:textId="0A5378B3" w:rsidR="005E21D3" w:rsidRDefault="006D0914" w:rsidP="003639BD">
      <w:pPr>
        <w:pStyle w:val="HUDBullets"/>
      </w:pPr>
      <w:r>
        <w:t>c</w:t>
      </w:r>
      <w:r w:rsidR="002530CF" w:rsidRPr="005E21D3">
        <w:t>onfirm</w:t>
      </w:r>
      <w:r w:rsidR="0093428E">
        <w:t xml:space="preserve"> the</w:t>
      </w:r>
      <w:r w:rsidR="002530CF" w:rsidRPr="005E21D3">
        <w:t xml:space="preserve"> security deposit was accessed</w:t>
      </w:r>
      <w:r>
        <w:t xml:space="preserve"> or </w:t>
      </w:r>
      <w:r w:rsidR="002530CF" w:rsidRPr="005E21D3">
        <w:t>attempted</w:t>
      </w:r>
    </w:p>
    <w:p w14:paraId="29824730" w14:textId="7F1C18E9" w:rsidR="005E21D3" w:rsidRDefault="006D0914" w:rsidP="003639BD">
      <w:pPr>
        <w:pStyle w:val="HUDBullets"/>
      </w:pPr>
      <w:r>
        <w:t>i</w:t>
      </w:r>
      <w:r w:rsidR="002530CF" w:rsidRPr="005E21D3">
        <w:t xml:space="preserve">nclude photos of the damage </w:t>
      </w:r>
      <w:r w:rsidR="000773C3">
        <w:t>and</w:t>
      </w:r>
      <w:r w:rsidR="000773C3" w:rsidRPr="005E21D3">
        <w:t xml:space="preserve"> </w:t>
      </w:r>
      <w:r w:rsidR="002530CF" w:rsidRPr="005E21D3">
        <w:t xml:space="preserve">photos taken when the </w:t>
      </w:r>
      <w:r w:rsidR="000773C3">
        <w:t>h</w:t>
      </w:r>
      <w:r w:rsidR="002530CF" w:rsidRPr="005E21D3">
        <w:t>ousehold moved in to show the condition before damage</w:t>
      </w:r>
    </w:p>
    <w:p w14:paraId="30925E58" w14:textId="64E9B1D4" w:rsidR="005E21D3" w:rsidRDefault="006D0914" w:rsidP="003639BD">
      <w:pPr>
        <w:pStyle w:val="HUDBullets"/>
      </w:pPr>
      <w:r>
        <w:t>p</w:t>
      </w:r>
      <w:r w:rsidR="002530CF" w:rsidRPr="005E21D3">
        <w:t>rovide verification of costs (</w:t>
      </w:r>
      <w:r w:rsidR="000773C3">
        <w:t xml:space="preserve">invoice or </w:t>
      </w:r>
      <w:r w:rsidR="002530CF" w:rsidRPr="005E21D3">
        <w:t>quote)</w:t>
      </w:r>
    </w:p>
    <w:p w14:paraId="0CA0EB06" w14:textId="6E8F64BE" w:rsidR="005E21D3" w:rsidRDefault="006D0914" w:rsidP="003639BD">
      <w:pPr>
        <w:pStyle w:val="HUDBullets"/>
      </w:pPr>
      <w:r>
        <w:t>s</w:t>
      </w:r>
      <w:r w:rsidR="002530CF" w:rsidRPr="005E21D3">
        <w:t xml:space="preserve">ubmit </w:t>
      </w:r>
      <w:r w:rsidR="0093428E">
        <w:t xml:space="preserve">a </w:t>
      </w:r>
      <w:r w:rsidR="002530CF" w:rsidRPr="005E21D3">
        <w:t xml:space="preserve">valid tax invoice to </w:t>
      </w:r>
      <w:r>
        <w:t>us.</w:t>
      </w:r>
    </w:p>
    <w:p w14:paraId="56CDC195" w14:textId="1DA98D5D" w:rsidR="002530CF" w:rsidRPr="005E21D3" w:rsidRDefault="002530CF" w:rsidP="003639BD">
      <w:pPr>
        <w:pStyle w:val="HUDBullets"/>
        <w:numPr>
          <w:ilvl w:val="0"/>
          <w:numId w:val="0"/>
        </w:numPr>
        <w:ind w:left="547" w:hanging="547"/>
      </w:pPr>
      <w:r w:rsidRPr="005E21D3">
        <w:t xml:space="preserve">For claims over $5,000 (GST exclusive): </w:t>
      </w:r>
    </w:p>
    <w:p w14:paraId="2E886472" w14:textId="7DC2C3B6" w:rsidR="002530CF" w:rsidRPr="002530CF" w:rsidRDefault="000773C3" w:rsidP="003639BD">
      <w:pPr>
        <w:pStyle w:val="HUDBullets"/>
      </w:pPr>
      <w:r>
        <w:t>get</w:t>
      </w:r>
      <w:r w:rsidR="002530CF" w:rsidRPr="002530CF">
        <w:t xml:space="preserve"> pre-approval</w:t>
      </w:r>
      <w:r>
        <w:t xml:space="preserve"> from us</w:t>
      </w:r>
      <w:r w:rsidR="002530CF" w:rsidRPr="002530CF">
        <w:t xml:space="preserve"> before work </w:t>
      </w:r>
      <w:r>
        <w:t>begins</w:t>
      </w:r>
    </w:p>
    <w:p w14:paraId="418231CC" w14:textId="78D27B04" w:rsidR="002530CF" w:rsidRPr="002530CF" w:rsidRDefault="000773C3" w:rsidP="003639BD">
      <w:pPr>
        <w:pStyle w:val="HUDBullets"/>
      </w:pPr>
      <w:r>
        <w:t>p</w:t>
      </w:r>
      <w:r w:rsidR="002530CF" w:rsidRPr="002530CF">
        <w:t>rovide a brief statement of the incident</w:t>
      </w:r>
    </w:p>
    <w:p w14:paraId="3ABD246B" w14:textId="7BB5BD26" w:rsidR="002530CF" w:rsidRPr="002530CF" w:rsidRDefault="000773C3" w:rsidP="003639BD">
      <w:pPr>
        <w:pStyle w:val="HUDBullets"/>
      </w:pPr>
      <w:r>
        <w:t>s</w:t>
      </w:r>
      <w:r w:rsidR="002530CF" w:rsidRPr="002530CF">
        <w:t>ubmit two quotes from different suppliers</w:t>
      </w:r>
    </w:p>
    <w:p w14:paraId="052AF763" w14:textId="553CB50A" w:rsidR="002530CF" w:rsidRPr="002530CF" w:rsidRDefault="000773C3" w:rsidP="003639BD">
      <w:pPr>
        <w:pStyle w:val="HUDBullets"/>
      </w:pPr>
      <w:r>
        <w:t>i</w:t>
      </w:r>
      <w:r w:rsidR="002530CF" w:rsidRPr="002530CF">
        <w:t xml:space="preserve">nclude photos of the damage </w:t>
      </w:r>
      <w:r>
        <w:t>and</w:t>
      </w:r>
      <w:r w:rsidRPr="002530CF">
        <w:t xml:space="preserve"> </w:t>
      </w:r>
      <w:r w:rsidR="002530CF" w:rsidRPr="002530CF">
        <w:t xml:space="preserve">photos taken when the </w:t>
      </w:r>
      <w:r>
        <w:t>h</w:t>
      </w:r>
      <w:r w:rsidR="002530CF" w:rsidRPr="002530CF">
        <w:t>ousehold moved in to show the condition before damage</w:t>
      </w:r>
    </w:p>
    <w:p w14:paraId="5C6154A0" w14:textId="58A5B356" w:rsidR="002530CF" w:rsidRPr="002530CF" w:rsidRDefault="000773C3" w:rsidP="003639BD">
      <w:pPr>
        <w:pStyle w:val="HUDBullets"/>
      </w:pPr>
      <w:r>
        <w:t>i</w:t>
      </w:r>
      <w:r w:rsidR="002530CF" w:rsidRPr="002530CF">
        <w:t xml:space="preserve">ndicate </w:t>
      </w:r>
      <w:r>
        <w:t xml:space="preserve">your </w:t>
      </w:r>
      <w:r w:rsidR="002530CF" w:rsidRPr="002530CF">
        <w:t>preferred supplier</w:t>
      </w:r>
    </w:p>
    <w:p w14:paraId="4118EA65" w14:textId="24075DB1" w:rsidR="005E21D3" w:rsidRDefault="000773C3" w:rsidP="003639BD">
      <w:pPr>
        <w:pStyle w:val="HUDBullets"/>
      </w:pPr>
      <w:r>
        <w:t>a</w:t>
      </w:r>
      <w:r w:rsidR="002530CF" w:rsidRPr="002530CF">
        <w:t xml:space="preserve">fter approval and work completion, submit </w:t>
      </w:r>
      <w:r w:rsidR="0093428E">
        <w:t xml:space="preserve">the </w:t>
      </w:r>
      <w:r w:rsidR="002530CF" w:rsidRPr="002530CF">
        <w:t>invoice and tax invoice.</w:t>
      </w:r>
    </w:p>
    <w:p w14:paraId="138A4F55" w14:textId="77777777" w:rsidR="00117F5B" w:rsidRDefault="00117F5B" w:rsidP="003639BD">
      <w:pPr>
        <w:pStyle w:val="HUDList"/>
        <w:numPr>
          <w:ilvl w:val="0"/>
          <w:numId w:val="0"/>
        </w:numPr>
        <w:ind w:left="547" w:hanging="547"/>
        <w:rPr>
          <w:rFonts w:cs="Arial"/>
        </w:rPr>
      </w:pPr>
    </w:p>
    <w:p w14:paraId="6F2C63D2" w14:textId="77777777" w:rsidR="005E21D3" w:rsidRDefault="002530CF" w:rsidP="003639BD">
      <w:pPr>
        <w:pStyle w:val="HUDBullets"/>
        <w:numPr>
          <w:ilvl w:val="0"/>
          <w:numId w:val="0"/>
        </w:numPr>
        <w:ind w:left="547" w:hanging="547"/>
      </w:pPr>
      <w:r w:rsidRPr="005E21D3">
        <w:lastRenderedPageBreak/>
        <w:t xml:space="preserve">Important notes: </w:t>
      </w:r>
    </w:p>
    <w:p w14:paraId="44B7FC58" w14:textId="01E56F5E" w:rsidR="005E21D3" w:rsidRDefault="002530CF" w:rsidP="003639BD">
      <w:pPr>
        <w:pStyle w:val="HUDBullets"/>
      </w:pPr>
      <w:r w:rsidRPr="005E21D3">
        <w:t xml:space="preserve">Photos showing the </w:t>
      </w:r>
      <w:r w:rsidR="000773C3">
        <w:t>p</w:t>
      </w:r>
      <w:r w:rsidRPr="005E21D3">
        <w:t>roperty's condition at the start of the tenancy are mandatory for all claims.</w:t>
      </w:r>
    </w:p>
    <w:p w14:paraId="75550CEB" w14:textId="77777777" w:rsidR="005E21D3" w:rsidRDefault="002530CF" w:rsidP="003639BD">
      <w:pPr>
        <w:pStyle w:val="HUDBullets"/>
      </w:pPr>
      <w:r w:rsidRPr="005E21D3">
        <w:t>Claims must be submitted within six months of damage occurring.</w:t>
      </w:r>
    </w:p>
    <w:p w14:paraId="2D25A8A5" w14:textId="7B69AECD" w:rsidR="002530CF" w:rsidRDefault="000773C3" w:rsidP="0093428E">
      <w:pPr>
        <w:pStyle w:val="HUDBullets"/>
      </w:pPr>
      <w:r>
        <w:t>We</w:t>
      </w:r>
      <w:r w:rsidR="002530CF" w:rsidRPr="005E21D3">
        <w:t xml:space="preserve"> ha</w:t>
      </w:r>
      <w:r>
        <w:t>ve</w:t>
      </w:r>
      <w:r w:rsidR="002530CF" w:rsidRPr="005E21D3">
        <w:t xml:space="preserve"> no liability to you once the </w:t>
      </w:r>
      <w:r>
        <w:t>m</w:t>
      </w:r>
      <w:r w:rsidR="002530CF" w:rsidRPr="005E21D3">
        <w:t xml:space="preserve">aintenance </w:t>
      </w:r>
      <w:r>
        <w:t>c</w:t>
      </w:r>
      <w:r w:rsidR="002530CF" w:rsidRPr="005E21D3">
        <w:t xml:space="preserve">osts fund is exhausted under your </w:t>
      </w:r>
      <w:r>
        <w:t>s</w:t>
      </w:r>
      <w:r w:rsidR="002530CF" w:rsidRPr="005E21D3">
        <w:t xml:space="preserve">ervices </w:t>
      </w:r>
      <w:r>
        <w:t>a</w:t>
      </w:r>
      <w:r w:rsidR="002530CF" w:rsidRPr="005E21D3">
        <w:t>greement.</w:t>
      </w:r>
    </w:p>
    <w:p w14:paraId="3357B113" w14:textId="77777777" w:rsidR="0093428E" w:rsidRPr="005E21D3" w:rsidRDefault="0093428E" w:rsidP="003639BD">
      <w:pPr>
        <w:pStyle w:val="HUDBullets"/>
        <w:numPr>
          <w:ilvl w:val="0"/>
          <w:numId w:val="0"/>
        </w:numPr>
      </w:pPr>
    </w:p>
    <w:p w14:paraId="18C39112" w14:textId="77777777" w:rsidR="002530CF" w:rsidRPr="002530CF" w:rsidRDefault="002530CF" w:rsidP="002530CF">
      <w:pPr>
        <w:pStyle w:val="HUDHeading1"/>
      </w:pPr>
      <w:bookmarkStart w:id="49" w:name="_Toc208995936"/>
      <w:r w:rsidRPr="002530CF">
        <w:t>5.0 Ending a transitional housing service</w:t>
      </w:r>
      <w:bookmarkEnd w:id="49"/>
    </w:p>
    <w:p w14:paraId="21A10BD3" w14:textId="65D4BA61" w:rsidR="002530CF" w:rsidRPr="002530CF" w:rsidRDefault="002530CF" w:rsidP="002530CF">
      <w:pPr>
        <w:pStyle w:val="HUDBody"/>
        <w:rPr>
          <w:rFonts w:cs="Arial"/>
        </w:rPr>
      </w:pPr>
      <w:r w:rsidRPr="002530CF">
        <w:rPr>
          <w:rFonts w:cs="Arial"/>
        </w:rPr>
        <w:t xml:space="preserve">You must update </w:t>
      </w:r>
      <w:r w:rsidR="000773C3">
        <w:rPr>
          <w:rFonts w:cs="Arial"/>
        </w:rPr>
        <w:t xml:space="preserve">the </w:t>
      </w:r>
      <w:r w:rsidRPr="002530CF">
        <w:rPr>
          <w:rFonts w:cs="Arial"/>
        </w:rPr>
        <w:t>THVM when a household leaves your accommodation service</w:t>
      </w:r>
      <w:r>
        <w:rPr>
          <w:rStyle w:val="FootnoteReference"/>
          <w:rFonts w:cs="Arial"/>
        </w:rPr>
        <w:footnoteReference w:id="6"/>
      </w:r>
      <w:r w:rsidRPr="002530CF">
        <w:rPr>
          <w:rFonts w:cs="Arial"/>
        </w:rPr>
        <w:t>. This allow</w:t>
      </w:r>
      <w:r w:rsidR="000773C3">
        <w:rPr>
          <w:rFonts w:cs="Arial"/>
        </w:rPr>
        <w:t>s</w:t>
      </w:r>
      <w:r w:rsidRPr="002530CF">
        <w:rPr>
          <w:rFonts w:cs="Arial"/>
        </w:rPr>
        <w:t xml:space="preserve"> MSD to stop </w:t>
      </w:r>
      <w:r w:rsidR="000773C3">
        <w:rPr>
          <w:rFonts w:cs="Arial"/>
        </w:rPr>
        <w:t xml:space="preserve">the redirection of any benefit </w:t>
      </w:r>
      <w:r w:rsidRPr="002530CF">
        <w:rPr>
          <w:rFonts w:cs="Arial"/>
        </w:rPr>
        <w:t xml:space="preserve">from the appropriate date. </w:t>
      </w:r>
    </w:p>
    <w:p w14:paraId="3A4F5E8A" w14:textId="2CFEF707" w:rsidR="002530CF" w:rsidRPr="002530CF" w:rsidRDefault="002530CF" w:rsidP="002530CF">
      <w:pPr>
        <w:pStyle w:val="HUDBody"/>
        <w:rPr>
          <w:rFonts w:cs="Arial"/>
        </w:rPr>
      </w:pPr>
      <w:r w:rsidRPr="002530CF">
        <w:rPr>
          <w:rFonts w:cs="Arial"/>
        </w:rPr>
        <w:t xml:space="preserve"> The following information</w:t>
      </w:r>
      <w:r w:rsidR="000773C3">
        <w:rPr>
          <w:rFonts w:cs="Arial"/>
        </w:rPr>
        <w:t xml:space="preserve"> is </w:t>
      </w:r>
      <w:r w:rsidRPr="002530CF">
        <w:rPr>
          <w:rFonts w:cs="Arial"/>
        </w:rPr>
        <w:t xml:space="preserve">useful for the update: </w:t>
      </w:r>
    </w:p>
    <w:p w14:paraId="11EAB984" w14:textId="6899F8C0" w:rsidR="002530CF" w:rsidRPr="002530CF" w:rsidRDefault="002530CF" w:rsidP="005E21D3">
      <w:pPr>
        <w:pStyle w:val="HUDBullets"/>
      </w:pPr>
      <w:r w:rsidRPr="002530CF">
        <w:t>the date the client left the service</w:t>
      </w:r>
    </w:p>
    <w:p w14:paraId="74DBA736" w14:textId="7C73268A" w:rsidR="002530CF" w:rsidRPr="002530CF" w:rsidRDefault="002530CF" w:rsidP="005E21D3">
      <w:pPr>
        <w:pStyle w:val="HUDBullets"/>
      </w:pPr>
      <w:r w:rsidRPr="002530CF">
        <w:t>the reason why they left</w:t>
      </w:r>
    </w:p>
    <w:p w14:paraId="29AAAD8B" w14:textId="0AB4B494" w:rsidR="002530CF" w:rsidRPr="002530CF" w:rsidRDefault="002530CF" w:rsidP="005E21D3">
      <w:pPr>
        <w:pStyle w:val="HUDBullets"/>
      </w:pPr>
      <w:r w:rsidRPr="002530CF">
        <w:t>what type of accommodation the client has found (if known)</w:t>
      </w:r>
    </w:p>
    <w:p w14:paraId="13D068C4" w14:textId="401B56A3" w:rsidR="002530CF" w:rsidRDefault="002530CF" w:rsidP="005E21D3">
      <w:pPr>
        <w:pStyle w:val="HUDBullets"/>
      </w:pPr>
      <w:r w:rsidRPr="002530CF">
        <w:t>the new address of the client (if known).</w:t>
      </w:r>
    </w:p>
    <w:p w14:paraId="1268DE18" w14:textId="77777777" w:rsidR="00117F5B" w:rsidRDefault="00117F5B" w:rsidP="003639BD">
      <w:pPr>
        <w:pStyle w:val="HUDBullets"/>
        <w:numPr>
          <w:ilvl w:val="0"/>
          <w:numId w:val="0"/>
        </w:numPr>
      </w:pPr>
      <w:r w:rsidRPr="002530CF">
        <w:t>Where possible you should conduct an exit interview with the household.</w:t>
      </w:r>
    </w:p>
    <w:p w14:paraId="3D4FF4AE" w14:textId="429C2A1E" w:rsidR="002530CF" w:rsidRPr="002530CF" w:rsidRDefault="000773C3" w:rsidP="002530CF">
      <w:pPr>
        <w:pStyle w:val="HUDBody"/>
        <w:rPr>
          <w:rFonts w:cs="Arial"/>
        </w:rPr>
      </w:pPr>
      <w:r>
        <w:rPr>
          <w:rFonts w:cs="Arial"/>
        </w:rPr>
        <w:t>O</w:t>
      </w:r>
      <w:r w:rsidR="002530CF" w:rsidRPr="002530CF">
        <w:rPr>
          <w:rFonts w:cs="Arial"/>
        </w:rPr>
        <w:t xml:space="preserve">nce the household has exited the property it will automatically </w:t>
      </w:r>
      <w:r w:rsidR="00117F5B">
        <w:rPr>
          <w:rFonts w:cs="Arial"/>
        </w:rPr>
        <w:t xml:space="preserve">become </w:t>
      </w:r>
      <w:r w:rsidR="002530CF" w:rsidRPr="002530CF">
        <w:rPr>
          <w:rFonts w:cs="Arial"/>
        </w:rPr>
        <w:t>vacant</w:t>
      </w:r>
      <w:r>
        <w:rPr>
          <w:rFonts w:cs="Arial"/>
        </w:rPr>
        <w:t xml:space="preserve"> in the TVHM</w:t>
      </w:r>
      <w:r w:rsidR="002530CF" w:rsidRPr="002530CF">
        <w:rPr>
          <w:rFonts w:cs="Arial"/>
        </w:rPr>
        <w:t xml:space="preserve"> and will be available for new referrals.</w:t>
      </w:r>
    </w:p>
    <w:p w14:paraId="14930FA7" w14:textId="3F6A8A02" w:rsidR="002530CF" w:rsidRDefault="002530CF" w:rsidP="002530CF">
      <w:pPr>
        <w:pStyle w:val="HUDBody"/>
        <w:rPr>
          <w:rFonts w:cs="Arial"/>
        </w:rPr>
      </w:pPr>
      <w:r w:rsidRPr="002530CF">
        <w:rPr>
          <w:rFonts w:cs="Arial"/>
        </w:rPr>
        <w:t>If the property is not available for a new household, you need to update the status of the property to ‘out of use’ and provide the reason.</w:t>
      </w:r>
    </w:p>
    <w:p w14:paraId="3E4F4CCC" w14:textId="77777777" w:rsidR="002530CF" w:rsidRPr="002530CF" w:rsidRDefault="002530CF" w:rsidP="002530CF">
      <w:pPr>
        <w:pStyle w:val="HUDBody"/>
        <w:rPr>
          <w:rFonts w:cs="Arial"/>
        </w:rPr>
      </w:pPr>
      <w:r w:rsidRPr="002530CF">
        <w:rPr>
          <w:rFonts w:cs="Arial"/>
        </w:rPr>
        <w:t>When the property becomes available, you need to update the property by marking it ‘for use’.</w:t>
      </w:r>
    </w:p>
    <w:p w14:paraId="4F7DEDF9" w14:textId="491B47F6" w:rsidR="0093428E" w:rsidRPr="002530CF" w:rsidRDefault="0093428E" w:rsidP="002530CF">
      <w:pPr>
        <w:pStyle w:val="HUDBody"/>
        <w:rPr>
          <w:rFonts w:cs="Arial"/>
        </w:rPr>
      </w:pPr>
    </w:p>
    <w:p w14:paraId="19349010" w14:textId="77777777" w:rsidR="002530CF" w:rsidRPr="002530CF" w:rsidRDefault="002530CF" w:rsidP="002530CF">
      <w:pPr>
        <w:pStyle w:val="HUDHeading1"/>
      </w:pPr>
      <w:bookmarkStart w:id="50" w:name="_Toc208995937"/>
      <w:r w:rsidRPr="002530CF">
        <w:t>5.1 Transitioning households from your service</w:t>
      </w:r>
      <w:bookmarkEnd w:id="50"/>
    </w:p>
    <w:p w14:paraId="10876852" w14:textId="60B9BCD5" w:rsidR="002530CF" w:rsidRPr="002530CF" w:rsidRDefault="002530CF" w:rsidP="002530CF">
      <w:pPr>
        <w:pStyle w:val="HUDBody"/>
        <w:rPr>
          <w:rFonts w:cs="Arial"/>
        </w:rPr>
      </w:pPr>
      <w:r w:rsidRPr="002530CF">
        <w:rPr>
          <w:rFonts w:cs="Arial"/>
        </w:rPr>
        <w:t>Households should be encouraged, where possible, to move into accommodation that is considered</w:t>
      </w:r>
      <w:r w:rsidR="0093428E">
        <w:rPr>
          <w:rFonts w:cs="Arial"/>
        </w:rPr>
        <w:t>,</w:t>
      </w:r>
      <w:r w:rsidRPr="002530CF">
        <w:rPr>
          <w:rFonts w:cs="Arial"/>
        </w:rPr>
        <w:t xml:space="preserve"> or will lead</w:t>
      </w:r>
      <w:r w:rsidR="0093428E">
        <w:rPr>
          <w:rFonts w:cs="Arial"/>
        </w:rPr>
        <w:t>,</w:t>
      </w:r>
      <w:r w:rsidRPr="002530CF">
        <w:rPr>
          <w:rFonts w:cs="Arial"/>
        </w:rPr>
        <w:t xml:space="preserve"> to longer-term, sustainable private accommodation (rental, boarding and home ownership).</w:t>
      </w:r>
    </w:p>
    <w:p w14:paraId="35B9C63D" w14:textId="0E3CE4E4" w:rsidR="002530CF" w:rsidRPr="002530CF" w:rsidRDefault="002530CF" w:rsidP="002530CF">
      <w:pPr>
        <w:pStyle w:val="HUDBody"/>
        <w:rPr>
          <w:rFonts w:cs="Arial"/>
        </w:rPr>
      </w:pPr>
      <w:r w:rsidRPr="002530CF">
        <w:rPr>
          <w:rFonts w:cs="Arial"/>
        </w:rPr>
        <w:t>In your work with the household (and MSD) you may be able to identify if the household needs products and services to help sustain private accommodation</w:t>
      </w:r>
      <w:r w:rsidR="000773C3">
        <w:rPr>
          <w:rFonts w:cs="Arial"/>
        </w:rPr>
        <w:t>,</w:t>
      </w:r>
      <w:r w:rsidRPr="002530CF">
        <w:rPr>
          <w:rFonts w:cs="Arial"/>
        </w:rPr>
        <w:t xml:space="preserve"> for example, financial and household support. You may not sell or provide furniture from your service to the household.  </w:t>
      </w:r>
    </w:p>
    <w:p w14:paraId="32F6F1B2" w14:textId="23525C94" w:rsidR="002530CF" w:rsidRDefault="002530CF" w:rsidP="002530CF">
      <w:pPr>
        <w:pStyle w:val="HUDBody"/>
        <w:rPr>
          <w:rFonts w:cs="Arial"/>
        </w:rPr>
      </w:pPr>
      <w:r w:rsidRPr="002530CF">
        <w:rPr>
          <w:rFonts w:cs="Arial"/>
        </w:rPr>
        <w:lastRenderedPageBreak/>
        <w:t xml:space="preserve">There are a range of </w:t>
      </w:r>
      <w:r w:rsidR="00F80F7B" w:rsidRPr="003639BD">
        <w:t>products and services</w:t>
      </w:r>
      <w:r w:rsidRPr="002530CF">
        <w:rPr>
          <w:rFonts w:cs="Arial"/>
        </w:rPr>
        <w:t xml:space="preserve"> that can support households into private accommodation. These include </w:t>
      </w:r>
      <w:r w:rsidR="00F80F7B" w:rsidRPr="003639BD">
        <w:t>support for moving house</w:t>
      </w:r>
      <w:r w:rsidRPr="002530CF">
        <w:rPr>
          <w:rFonts w:cs="Arial"/>
        </w:rPr>
        <w:t xml:space="preserve"> (</w:t>
      </w:r>
      <w:r w:rsidR="000773C3">
        <w:rPr>
          <w:rFonts w:cs="Arial"/>
        </w:rPr>
        <w:t>for example</w:t>
      </w:r>
      <w:r w:rsidRPr="002530CF">
        <w:rPr>
          <w:rFonts w:cs="Arial"/>
        </w:rPr>
        <w:t xml:space="preserve">, bond and relocation) and for </w:t>
      </w:r>
      <w:r w:rsidR="00F80F7B" w:rsidRPr="003639BD">
        <w:t>ongoing housing costs</w:t>
      </w:r>
      <w:r w:rsidRPr="002530CF">
        <w:rPr>
          <w:rFonts w:cs="Arial"/>
        </w:rPr>
        <w:t xml:space="preserve"> (for example, repairs, maintenance, keeping the home warm). </w:t>
      </w:r>
    </w:p>
    <w:p w14:paraId="73A59C79" w14:textId="4875CC45" w:rsidR="000773C3" w:rsidRDefault="000773C3" w:rsidP="002530CF">
      <w:pPr>
        <w:pStyle w:val="HUDBody"/>
        <w:rPr>
          <w:rFonts w:cs="Arial"/>
        </w:rPr>
      </w:pPr>
      <w:hyperlink r:id="rId40" w:history="1">
        <w:r w:rsidRPr="00F80F7B">
          <w:rPr>
            <w:rStyle w:val="Hyperlink"/>
            <w:rFonts w:cs="Arial"/>
          </w:rPr>
          <w:t>Housing support products factsheet for community and iwi partners</w:t>
        </w:r>
      </w:hyperlink>
      <w:r>
        <w:rPr>
          <w:rFonts w:cs="Arial"/>
        </w:rPr>
        <w:t xml:space="preserve"> (</w:t>
      </w:r>
      <w:r w:rsidR="00F80F7B">
        <w:rPr>
          <w:rFonts w:cs="Arial"/>
        </w:rPr>
        <w:t>1.27MB, pdf)</w:t>
      </w:r>
    </w:p>
    <w:p w14:paraId="04626AAF" w14:textId="1035D9F7" w:rsidR="00F80F7B" w:rsidRDefault="00117F5B" w:rsidP="002530CF">
      <w:pPr>
        <w:pStyle w:val="HUDBody"/>
        <w:rPr>
          <w:rFonts w:cs="Arial"/>
        </w:rPr>
      </w:pPr>
      <w:hyperlink r:id="rId41" w:history="1">
        <w:r>
          <w:rPr>
            <w:rStyle w:val="Hyperlink"/>
            <w:rFonts w:cs="Arial"/>
          </w:rPr>
          <w:t>Moving house (workandincome.govt.nz)</w:t>
        </w:r>
      </w:hyperlink>
    </w:p>
    <w:p w14:paraId="0F439CF6" w14:textId="79BAA04E" w:rsidR="00F80F7B" w:rsidRDefault="00117F5B" w:rsidP="002530CF">
      <w:pPr>
        <w:pStyle w:val="HUDBody"/>
        <w:rPr>
          <w:rFonts w:cs="Arial"/>
        </w:rPr>
      </w:pPr>
      <w:hyperlink r:id="rId42" w:history="1">
        <w:r>
          <w:rPr>
            <w:rStyle w:val="Hyperlink"/>
            <w:rFonts w:cs="Arial"/>
          </w:rPr>
          <w:t>Housing costs (workandincome.govt.nz)</w:t>
        </w:r>
      </w:hyperlink>
    </w:p>
    <w:p w14:paraId="49E6EEC8" w14:textId="77777777" w:rsidR="00F80F7B" w:rsidRPr="002530CF" w:rsidRDefault="00F80F7B" w:rsidP="002530CF">
      <w:pPr>
        <w:pStyle w:val="HUDBody"/>
        <w:rPr>
          <w:rFonts w:cs="Arial"/>
        </w:rPr>
      </w:pPr>
    </w:p>
    <w:p w14:paraId="46A303D8" w14:textId="77777777" w:rsidR="002530CF" w:rsidRPr="002530CF" w:rsidRDefault="002530CF" w:rsidP="005232BD">
      <w:pPr>
        <w:pStyle w:val="HUDHeading1"/>
      </w:pPr>
      <w:bookmarkStart w:id="51" w:name="_Toc208995938"/>
      <w:r w:rsidRPr="002530CF">
        <w:t>5.2 Post-exit support services</w:t>
      </w:r>
      <w:bookmarkEnd w:id="51"/>
    </w:p>
    <w:p w14:paraId="76D74890" w14:textId="29B667FE" w:rsidR="002530CF" w:rsidRPr="002530CF" w:rsidRDefault="002530CF" w:rsidP="002530CF">
      <w:pPr>
        <w:pStyle w:val="HUDBody"/>
        <w:rPr>
          <w:rFonts w:cs="Arial"/>
        </w:rPr>
      </w:pPr>
      <w:r w:rsidRPr="002530CF">
        <w:rPr>
          <w:rFonts w:cs="Arial"/>
        </w:rPr>
        <w:t xml:space="preserve">When a household </w:t>
      </w:r>
      <w:r w:rsidR="00F80F7B">
        <w:rPr>
          <w:rFonts w:cs="Arial"/>
        </w:rPr>
        <w:t>moves</w:t>
      </w:r>
      <w:r w:rsidR="00F80F7B" w:rsidRPr="002530CF">
        <w:rPr>
          <w:rFonts w:cs="Arial"/>
        </w:rPr>
        <w:t xml:space="preserve"> </w:t>
      </w:r>
      <w:r w:rsidRPr="002530CF">
        <w:rPr>
          <w:rFonts w:cs="Arial"/>
        </w:rPr>
        <w:t>out of transitional housing, you must provide continued support services for up to 12 weeks following their departure. This support is designed to help households successfully maintain their new housing arrangements.</w:t>
      </w:r>
    </w:p>
    <w:p w14:paraId="3C07A703" w14:textId="55C04706" w:rsidR="002530CF" w:rsidRPr="002530CF" w:rsidRDefault="002530CF" w:rsidP="002530CF">
      <w:pPr>
        <w:pStyle w:val="HUDBody"/>
        <w:rPr>
          <w:rFonts w:cs="Arial"/>
        </w:rPr>
      </w:pPr>
      <w:r w:rsidRPr="002530CF">
        <w:rPr>
          <w:rFonts w:cs="Arial"/>
        </w:rPr>
        <w:t xml:space="preserve">You </w:t>
      </w:r>
      <w:r w:rsidR="0093428E">
        <w:rPr>
          <w:rFonts w:cs="Arial"/>
        </w:rPr>
        <w:t>must</w:t>
      </w:r>
      <w:r w:rsidRPr="002530CF">
        <w:rPr>
          <w:rFonts w:cs="Arial"/>
        </w:rPr>
        <w:t>:</w:t>
      </w:r>
    </w:p>
    <w:p w14:paraId="0C9EEABF" w14:textId="3E9B0633" w:rsidR="002530CF" w:rsidRPr="002530CF" w:rsidRDefault="00F80F7B" w:rsidP="005E21D3">
      <w:pPr>
        <w:pStyle w:val="HUDBullets"/>
      </w:pPr>
      <w:r>
        <w:t>o</w:t>
      </w:r>
      <w:r w:rsidR="002530CF" w:rsidRPr="002530CF">
        <w:t>ffer continued support services to all households leaving your transitional housing</w:t>
      </w:r>
    </w:p>
    <w:p w14:paraId="47A04DE5" w14:textId="109A4D01" w:rsidR="002530CF" w:rsidRPr="002530CF" w:rsidRDefault="00F80F7B" w:rsidP="005E21D3">
      <w:pPr>
        <w:pStyle w:val="HUDBullets"/>
      </w:pPr>
      <w:r>
        <w:t>m</w:t>
      </w:r>
      <w:r w:rsidR="002530CF" w:rsidRPr="002530CF">
        <w:t>eet with the household regularly during the 12-week period after they leave</w:t>
      </w:r>
    </w:p>
    <w:p w14:paraId="6BD91FFB" w14:textId="50F81E3E" w:rsidR="002530CF" w:rsidRPr="002530CF" w:rsidRDefault="00F80F7B" w:rsidP="005E21D3">
      <w:pPr>
        <w:pStyle w:val="HUDBullets"/>
      </w:pPr>
      <w:r>
        <w:t>f</w:t>
      </w:r>
      <w:r w:rsidR="002530CF" w:rsidRPr="002530CF">
        <w:t>ocus on identifying and addressing issues that might threaten the sustainability of their new housing situation</w:t>
      </w:r>
    </w:p>
    <w:p w14:paraId="03ACDF91" w14:textId="59AD01AB" w:rsidR="002530CF" w:rsidRPr="002530CF" w:rsidRDefault="00F80F7B" w:rsidP="005E21D3">
      <w:pPr>
        <w:pStyle w:val="HUDBullets"/>
      </w:pPr>
      <w:r>
        <w:t>t</w:t>
      </w:r>
      <w:r w:rsidR="002530CF" w:rsidRPr="002530CF">
        <w:t>ailor support to each household's specific needs in their new housing environment.</w:t>
      </w:r>
    </w:p>
    <w:p w14:paraId="1A096910" w14:textId="13D35D94" w:rsidR="002530CF" w:rsidRPr="002530CF" w:rsidRDefault="002530CF" w:rsidP="002530CF">
      <w:pPr>
        <w:pStyle w:val="HUDBody"/>
        <w:rPr>
          <w:rFonts w:cs="Arial"/>
        </w:rPr>
      </w:pPr>
      <w:r w:rsidRPr="002530CF">
        <w:rPr>
          <w:rFonts w:cs="Arial"/>
        </w:rPr>
        <w:t xml:space="preserve">The household </w:t>
      </w:r>
      <w:r w:rsidR="00F80F7B">
        <w:rPr>
          <w:rFonts w:cs="Arial"/>
        </w:rPr>
        <w:t xml:space="preserve">can </w:t>
      </w:r>
      <w:r w:rsidRPr="002530CF">
        <w:rPr>
          <w:rFonts w:cs="Arial"/>
        </w:rPr>
        <w:t xml:space="preserve">accept or decline this support. If accepted, your support should be proactive in helping them adjust to their new circumstances </w:t>
      </w:r>
      <w:r w:rsidR="00F80F7B">
        <w:rPr>
          <w:rFonts w:cs="Arial"/>
        </w:rPr>
        <w:t>for</w:t>
      </w:r>
      <w:r w:rsidRPr="002530CF">
        <w:rPr>
          <w:rFonts w:cs="Arial"/>
        </w:rPr>
        <w:t xml:space="preserve"> a smooth transition.</w:t>
      </w:r>
    </w:p>
    <w:p w14:paraId="761044CE" w14:textId="77777777" w:rsidR="002530CF" w:rsidRPr="002530CF" w:rsidRDefault="002530CF" w:rsidP="005232BD">
      <w:pPr>
        <w:pStyle w:val="HUDHeading2"/>
      </w:pPr>
      <w:bookmarkStart w:id="52" w:name="_Toc208995939"/>
      <w:r w:rsidRPr="002530CF">
        <w:t>Transitioning a client into social housing</w:t>
      </w:r>
      <w:bookmarkEnd w:id="52"/>
    </w:p>
    <w:p w14:paraId="692C834D" w14:textId="270398D2" w:rsidR="002530CF" w:rsidRPr="002530CF" w:rsidRDefault="002530CF" w:rsidP="002530CF">
      <w:pPr>
        <w:pStyle w:val="HUDBody"/>
        <w:rPr>
          <w:rFonts w:cs="Arial"/>
        </w:rPr>
      </w:pPr>
      <w:r w:rsidRPr="002530CF">
        <w:rPr>
          <w:rFonts w:cs="Arial"/>
        </w:rPr>
        <w:t xml:space="preserve">For some households, it may be appropriate to transition into social housing. In these cases, you must support them to apply </w:t>
      </w:r>
      <w:r w:rsidR="00F80F7B">
        <w:rPr>
          <w:rFonts w:cs="Arial"/>
        </w:rPr>
        <w:t>and be assessed</w:t>
      </w:r>
      <w:r w:rsidRPr="002530CF">
        <w:rPr>
          <w:rFonts w:cs="Arial"/>
        </w:rPr>
        <w:t xml:space="preserve">. </w:t>
      </w:r>
    </w:p>
    <w:p w14:paraId="6BB61389" w14:textId="62E9F4F0" w:rsidR="002530CF" w:rsidRDefault="00F80F7B" w:rsidP="002530CF">
      <w:pPr>
        <w:pStyle w:val="HUDBody"/>
        <w:rPr>
          <w:rFonts w:cs="Arial"/>
        </w:rPr>
      </w:pPr>
      <w:r>
        <w:rPr>
          <w:rFonts w:cs="Arial"/>
        </w:rPr>
        <w:t>If</w:t>
      </w:r>
      <w:r w:rsidRPr="002530CF">
        <w:rPr>
          <w:rFonts w:cs="Arial"/>
        </w:rPr>
        <w:t xml:space="preserve"> </w:t>
      </w:r>
      <w:r w:rsidR="002530CF" w:rsidRPr="002530CF">
        <w:rPr>
          <w:rFonts w:cs="Arial"/>
        </w:rPr>
        <w:t xml:space="preserve">they are already on the </w:t>
      </w:r>
      <w:r>
        <w:rPr>
          <w:rFonts w:cs="Arial"/>
        </w:rPr>
        <w:t>h</w:t>
      </w:r>
      <w:r w:rsidR="002530CF" w:rsidRPr="002530CF">
        <w:rPr>
          <w:rFonts w:cs="Arial"/>
        </w:rPr>
        <w:t xml:space="preserve">ousing </w:t>
      </w:r>
      <w:r>
        <w:rPr>
          <w:rFonts w:cs="Arial"/>
        </w:rPr>
        <w:t>r</w:t>
      </w:r>
      <w:r w:rsidR="002530CF" w:rsidRPr="002530CF">
        <w:rPr>
          <w:rFonts w:cs="Arial"/>
        </w:rPr>
        <w:t>egister</w:t>
      </w:r>
      <w:r>
        <w:rPr>
          <w:rFonts w:cs="Arial"/>
        </w:rPr>
        <w:t>,</w:t>
      </w:r>
      <w:r w:rsidR="002530CF" w:rsidRPr="002530CF">
        <w:rPr>
          <w:rFonts w:cs="Arial"/>
        </w:rPr>
        <w:t xml:space="preserve"> you must </w:t>
      </w:r>
      <w:r>
        <w:rPr>
          <w:rFonts w:cs="Arial"/>
        </w:rPr>
        <w:t xml:space="preserve">make </w:t>
      </w:r>
      <w:r w:rsidR="002530CF" w:rsidRPr="002530CF">
        <w:rPr>
          <w:rFonts w:cs="Arial"/>
        </w:rPr>
        <w:t xml:space="preserve">sure their application is up to date. If you are the appointed agent for the household, or the household has completed the </w:t>
      </w:r>
      <w:r w:rsidR="0093428E" w:rsidRPr="003639BD">
        <w:t>housing privacy consent form</w:t>
      </w:r>
      <w:r w:rsidR="002530CF" w:rsidRPr="002530CF">
        <w:rPr>
          <w:rFonts w:cs="Arial"/>
        </w:rPr>
        <w:t>, you can contact MSD to update their circumstances.</w:t>
      </w:r>
    </w:p>
    <w:p w14:paraId="1B617837" w14:textId="602F5C7F" w:rsidR="00F80F7B" w:rsidRDefault="00F80F7B" w:rsidP="002530CF">
      <w:pPr>
        <w:pStyle w:val="HUDBody"/>
        <w:rPr>
          <w:rFonts w:cs="Arial"/>
        </w:rPr>
      </w:pPr>
      <w:hyperlink r:id="rId43" w:history="1">
        <w:r w:rsidRPr="00F80F7B">
          <w:rPr>
            <w:rStyle w:val="Hyperlink"/>
            <w:rFonts w:cs="Arial"/>
          </w:rPr>
          <w:t>Housing privacy consent form</w:t>
        </w:r>
      </w:hyperlink>
      <w:r>
        <w:rPr>
          <w:rFonts w:cs="Arial"/>
        </w:rPr>
        <w:t xml:space="preserve"> (756KB,</w:t>
      </w:r>
      <w:r w:rsidR="0093428E">
        <w:rPr>
          <w:rFonts w:cs="Arial"/>
        </w:rPr>
        <w:t xml:space="preserve"> </w:t>
      </w:r>
      <w:r>
        <w:rPr>
          <w:rFonts w:cs="Arial"/>
        </w:rPr>
        <w:t>pdf)</w:t>
      </w:r>
    </w:p>
    <w:p w14:paraId="1D6AB88E" w14:textId="77777777" w:rsidR="0093428E" w:rsidRPr="002530CF" w:rsidRDefault="0093428E" w:rsidP="002530CF">
      <w:pPr>
        <w:pStyle w:val="HUDBody"/>
        <w:rPr>
          <w:rFonts w:cs="Arial"/>
        </w:rPr>
      </w:pPr>
    </w:p>
    <w:p w14:paraId="4318648F" w14:textId="16D43F02" w:rsidR="002530CF" w:rsidRPr="002530CF" w:rsidRDefault="002530CF" w:rsidP="005232BD">
      <w:pPr>
        <w:pStyle w:val="HUDHeading1"/>
      </w:pPr>
      <w:bookmarkStart w:id="53" w:name="_Toc208995940"/>
      <w:r w:rsidRPr="002530CF">
        <w:lastRenderedPageBreak/>
        <w:t>5.3 Early exits for households in transitional housing</w:t>
      </w:r>
      <w:bookmarkEnd w:id="53"/>
      <w:r w:rsidRPr="002530CF">
        <w:t xml:space="preserve"> </w:t>
      </w:r>
    </w:p>
    <w:p w14:paraId="5D3E20F3" w14:textId="019C604B" w:rsidR="002530CF" w:rsidRDefault="002530CF" w:rsidP="002530CF">
      <w:pPr>
        <w:pStyle w:val="HUDBody"/>
        <w:rPr>
          <w:rFonts w:cs="Arial"/>
        </w:rPr>
      </w:pPr>
      <w:r w:rsidRPr="002530CF">
        <w:rPr>
          <w:rFonts w:cs="Arial"/>
        </w:rPr>
        <w:t>Security of tenure is important for households. Therefore, any early exits</w:t>
      </w:r>
      <w:r w:rsidR="005232BD">
        <w:rPr>
          <w:rStyle w:val="FootnoteReference"/>
          <w:rFonts w:cs="Arial"/>
        </w:rPr>
        <w:footnoteReference w:id="7"/>
      </w:r>
      <w:r w:rsidRPr="002530CF">
        <w:rPr>
          <w:rFonts w:cs="Arial"/>
        </w:rPr>
        <w:t xml:space="preserve"> that you initiate should only happen where necessary and as a last resort.  </w:t>
      </w:r>
    </w:p>
    <w:p w14:paraId="596FA330" w14:textId="2AE090FE" w:rsidR="005232BD" w:rsidRPr="005232BD" w:rsidRDefault="005232BD" w:rsidP="005232BD">
      <w:pPr>
        <w:pStyle w:val="HUDBody"/>
        <w:rPr>
          <w:rFonts w:cs="Arial"/>
        </w:rPr>
      </w:pPr>
      <w:r w:rsidRPr="005232BD">
        <w:rPr>
          <w:rFonts w:cs="Arial"/>
        </w:rPr>
        <w:t xml:space="preserve">Before early exiting a household, assess whether alternative options could improve the situation. </w:t>
      </w:r>
    </w:p>
    <w:p w14:paraId="2AD445F4" w14:textId="568C3500" w:rsidR="005232BD" w:rsidRPr="005232BD" w:rsidRDefault="005232BD" w:rsidP="005E21D3">
      <w:pPr>
        <w:pStyle w:val="HUDBullets"/>
      </w:pPr>
      <w:r w:rsidRPr="005232BD">
        <w:t>Assign a different social worker</w:t>
      </w:r>
      <w:r w:rsidR="00F80F7B">
        <w:t xml:space="preserve"> or </w:t>
      </w:r>
      <w:r w:rsidRPr="005232BD">
        <w:t>navigator, for example</w:t>
      </w:r>
      <w:r w:rsidR="00F80F7B">
        <w:t>,</w:t>
      </w:r>
      <w:r w:rsidRPr="005232BD">
        <w:t xml:space="preserve"> where a household ceases engagement with their current social worker</w:t>
      </w:r>
      <w:r w:rsidR="00F80F7B">
        <w:t xml:space="preserve"> or </w:t>
      </w:r>
      <w:r w:rsidRPr="005232BD">
        <w:t xml:space="preserve">navigator, to better enable their participation in the service. </w:t>
      </w:r>
    </w:p>
    <w:p w14:paraId="2C8C6022" w14:textId="5BDA3044" w:rsidR="005232BD" w:rsidRPr="005232BD" w:rsidRDefault="005232BD" w:rsidP="005E21D3">
      <w:pPr>
        <w:pStyle w:val="HUDBullets"/>
      </w:pPr>
      <w:r w:rsidRPr="005232BD">
        <w:t>Connect the household with support that helps address complex needs (for example, addiction or mental health services).</w:t>
      </w:r>
    </w:p>
    <w:p w14:paraId="2050BE90" w14:textId="5C7A96CA" w:rsidR="005232BD" w:rsidRPr="005232BD" w:rsidRDefault="005232BD" w:rsidP="005E21D3">
      <w:pPr>
        <w:pStyle w:val="HUDBullets"/>
      </w:pPr>
      <w:r w:rsidRPr="005232BD">
        <w:t>Transfer the household to another property in your stock, for example</w:t>
      </w:r>
      <w:r w:rsidR="00F80F7B">
        <w:t>,</w:t>
      </w:r>
      <w:r w:rsidRPr="005232BD">
        <w:t xml:space="preserve"> where the household’s behaviour is related to their environment (motel to a standalone property).</w:t>
      </w:r>
    </w:p>
    <w:p w14:paraId="54AB555B" w14:textId="65F7A769" w:rsidR="005232BD" w:rsidRPr="005232BD" w:rsidRDefault="005232BD" w:rsidP="005E21D3">
      <w:pPr>
        <w:pStyle w:val="HUDBullets"/>
      </w:pPr>
      <w:r w:rsidRPr="005232BD">
        <w:t>Transfer the household to another provider within your network who can better meet their needs (you’ll need to work with the provider directly to arrange a transfer to their service).</w:t>
      </w:r>
    </w:p>
    <w:p w14:paraId="4BF662FE" w14:textId="344154C2" w:rsidR="005232BD" w:rsidRPr="005232BD" w:rsidRDefault="005232BD" w:rsidP="005E21D3">
      <w:pPr>
        <w:pStyle w:val="HUDBullets"/>
      </w:pPr>
      <w:r w:rsidRPr="005232BD">
        <w:t>Explor</w:t>
      </w:r>
      <w:r w:rsidR="00F80F7B">
        <w:t>e</w:t>
      </w:r>
      <w:r w:rsidRPr="005232BD">
        <w:t xml:space="preserve"> all other internal solutions.</w:t>
      </w:r>
    </w:p>
    <w:p w14:paraId="4640896F" w14:textId="67579229" w:rsidR="005232BD" w:rsidRPr="005232BD" w:rsidRDefault="005232BD" w:rsidP="005232BD">
      <w:pPr>
        <w:pStyle w:val="HUDBody"/>
        <w:rPr>
          <w:rFonts w:cs="Arial"/>
        </w:rPr>
      </w:pPr>
      <w:r w:rsidRPr="005232BD">
        <w:rPr>
          <w:rFonts w:cs="Arial"/>
        </w:rPr>
        <w:t>If no</w:t>
      </w:r>
      <w:r w:rsidR="0093428E">
        <w:rPr>
          <w:rFonts w:cs="Arial"/>
        </w:rPr>
        <w:t xml:space="preserve"> </w:t>
      </w:r>
      <w:r w:rsidRPr="005232BD">
        <w:rPr>
          <w:rFonts w:cs="Arial"/>
        </w:rPr>
        <w:t xml:space="preserve">alternatives are suitable and an early exit is necessary, you must inform </w:t>
      </w:r>
      <w:r w:rsidR="0093428E">
        <w:rPr>
          <w:rFonts w:cs="Arial"/>
        </w:rPr>
        <w:t xml:space="preserve">your </w:t>
      </w:r>
      <w:r w:rsidRPr="005232BD">
        <w:rPr>
          <w:rFonts w:cs="Arial"/>
        </w:rPr>
        <w:t xml:space="preserve">Senior Advisor </w:t>
      </w:r>
      <w:r w:rsidR="00F80F7B">
        <w:rPr>
          <w:rFonts w:cs="Arial"/>
        </w:rPr>
        <w:t xml:space="preserve">at Te Tūāpapa Kura Kāinga </w:t>
      </w:r>
      <w:r w:rsidRPr="005232BD">
        <w:rPr>
          <w:rFonts w:cs="Arial"/>
        </w:rPr>
        <w:t>and MSD Regional Manager</w:t>
      </w:r>
      <w:r w:rsidR="0093428E">
        <w:rPr>
          <w:rFonts w:cs="Arial"/>
        </w:rPr>
        <w:t xml:space="preserve"> </w:t>
      </w:r>
      <w:r w:rsidRPr="005232BD">
        <w:rPr>
          <w:rFonts w:cs="Arial"/>
        </w:rPr>
        <w:t xml:space="preserve">where possible before issuing the exit notice. You will also need to confirm that you’ve thoroughly considered the steps above </w:t>
      </w:r>
      <w:r w:rsidR="00F80F7B">
        <w:rPr>
          <w:rFonts w:cs="Arial"/>
        </w:rPr>
        <w:t>before</w:t>
      </w:r>
      <w:r w:rsidRPr="005232BD">
        <w:rPr>
          <w:rFonts w:cs="Arial"/>
        </w:rPr>
        <w:t xml:space="preserve"> making your decision.</w:t>
      </w:r>
    </w:p>
    <w:p w14:paraId="34E53507" w14:textId="258F2B34" w:rsidR="005232BD" w:rsidRDefault="005232BD" w:rsidP="005232BD">
      <w:pPr>
        <w:pStyle w:val="HUDBody"/>
        <w:rPr>
          <w:rFonts w:cs="Arial"/>
        </w:rPr>
      </w:pPr>
      <w:r w:rsidRPr="005232BD">
        <w:rPr>
          <w:rFonts w:cs="Arial"/>
        </w:rPr>
        <w:t>Unless there are exceptional circumstances such as immediate safety concerns, you must exit households as close to 10am as possible and must not exit households on weekends or public holidays</w:t>
      </w:r>
      <w:r w:rsidR="00F80F7B">
        <w:rPr>
          <w:rFonts w:cs="Arial"/>
        </w:rPr>
        <w:t>,</w:t>
      </w:r>
      <w:r w:rsidRPr="005232BD">
        <w:rPr>
          <w:rFonts w:cs="Arial"/>
        </w:rPr>
        <w:t xml:space="preserve"> so the household has time to engage with MSD. </w:t>
      </w:r>
    </w:p>
    <w:p w14:paraId="382FF861" w14:textId="77777777" w:rsidR="0093428E" w:rsidRPr="005232BD" w:rsidRDefault="0093428E" w:rsidP="005232BD">
      <w:pPr>
        <w:pStyle w:val="HUDBody"/>
        <w:rPr>
          <w:rFonts w:cs="Arial"/>
        </w:rPr>
      </w:pPr>
    </w:p>
    <w:p w14:paraId="58300EE1" w14:textId="77777777" w:rsidR="005232BD" w:rsidRPr="005232BD" w:rsidRDefault="005232BD" w:rsidP="005232BD">
      <w:pPr>
        <w:pStyle w:val="HUDHeading1"/>
      </w:pPr>
      <w:bookmarkStart w:id="54" w:name="_Toc208995941"/>
      <w:r w:rsidRPr="005232BD">
        <w:t>6.0 Administrative information and requirements</w:t>
      </w:r>
      <w:bookmarkEnd w:id="54"/>
      <w:r w:rsidRPr="005232BD">
        <w:t xml:space="preserve"> </w:t>
      </w:r>
    </w:p>
    <w:p w14:paraId="15D2A4F3" w14:textId="40DF648C" w:rsidR="0093428E" w:rsidRDefault="005232BD" w:rsidP="005232BD">
      <w:pPr>
        <w:pStyle w:val="HUDBody"/>
        <w:rPr>
          <w:rFonts w:cs="Arial"/>
        </w:rPr>
      </w:pPr>
      <w:r w:rsidRPr="005232BD">
        <w:rPr>
          <w:rFonts w:cs="Arial"/>
        </w:rPr>
        <w:t xml:space="preserve">This section outlines administrative systems and requirements for </w:t>
      </w:r>
      <w:r w:rsidR="00F80F7B">
        <w:rPr>
          <w:rFonts w:cs="Arial"/>
        </w:rPr>
        <w:t>p</w:t>
      </w:r>
      <w:r w:rsidRPr="005232BD">
        <w:rPr>
          <w:rFonts w:cs="Arial"/>
        </w:rPr>
        <w:t>roviders around information management, child support</w:t>
      </w:r>
      <w:r w:rsidR="0093428E">
        <w:rPr>
          <w:rFonts w:cs="Arial"/>
        </w:rPr>
        <w:t>,</w:t>
      </w:r>
      <w:r w:rsidRPr="005232BD">
        <w:rPr>
          <w:rFonts w:cs="Arial"/>
        </w:rPr>
        <w:t xml:space="preserve"> monitoring and reporting. </w:t>
      </w:r>
    </w:p>
    <w:p w14:paraId="6AF359A9" w14:textId="77777777" w:rsidR="00117F5B" w:rsidRDefault="00117F5B" w:rsidP="005232BD">
      <w:pPr>
        <w:pStyle w:val="HUDBody"/>
        <w:rPr>
          <w:rFonts w:cs="Arial"/>
        </w:rPr>
      </w:pPr>
    </w:p>
    <w:p w14:paraId="0BD2D7B7" w14:textId="77777777" w:rsidR="00117F5B" w:rsidRDefault="00117F5B" w:rsidP="005232BD">
      <w:pPr>
        <w:pStyle w:val="HUDBody"/>
        <w:rPr>
          <w:rFonts w:cs="Arial"/>
        </w:rPr>
      </w:pPr>
    </w:p>
    <w:p w14:paraId="10E39093" w14:textId="0DA1BD56" w:rsidR="005232BD" w:rsidRPr="005232BD" w:rsidRDefault="005232BD" w:rsidP="005232BD">
      <w:pPr>
        <w:pStyle w:val="HUDHeading2"/>
      </w:pPr>
      <w:bookmarkStart w:id="55" w:name="_Toc208995942"/>
      <w:r w:rsidRPr="005232BD">
        <w:lastRenderedPageBreak/>
        <w:t xml:space="preserve">Temporary </w:t>
      </w:r>
      <w:r w:rsidR="0093428E">
        <w:t>h</w:t>
      </w:r>
      <w:r w:rsidRPr="005232BD">
        <w:t xml:space="preserve">ousing </w:t>
      </w:r>
      <w:r w:rsidR="0093428E">
        <w:t>v</w:t>
      </w:r>
      <w:r w:rsidRPr="005232BD">
        <w:t xml:space="preserve">acancy </w:t>
      </w:r>
      <w:r w:rsidR="0093428E">
        <w:t>m</w:t>
      </w:r>
      <w:r w:rsidRPr="005232BD">
        <w:t>anagement tool</w:t>
      </w:r>
      <w:bookmarkEnd w:id="55"/>
    </w:p>
    <w:p w14:paraId="052E1E37" w14:textId="29AD8B2A" w:rsidR="005232BD" w:rsidRPr="005232BD" w:rsidRDefault="00F80F7B" w:rsidP="005232BD">
      <w:pPr>
        <w:pStyle w:val="HUDBody"/>
        <w:rPr>
          <w:rFonts w:cs="Arial"/>
        </w:rPr>
      </w:pPr>
      <w:r>
        <w:rPr>
          <w:rFonts w:cs="Arial"/>
        </w:rPr>
        <w:t>The temporary housing vacancy management tool</w:t>
      </w:r>
      <w:r w:rsidRPr="005232BD">
        <w:rPr>
          <w:rFonts w:cs="Arial"/>
        </w:rPr>
        <w:t xml:space="preserve"> </w:t>
      </w:r>
      <w:r w:rsidR="005232BD" w:rsidRPr="005232BD">
        <w:rPr>
          <w:rFonts w:cs="Arial"/>
        </w:rPr>
        <w:t>provides</w:t>
      </w:r>
      <w:r w:rsidR="0054074F">
        <w:rPr>
          <w:rFonts w:cs="Arial"/>
        </w:rPr>
        <w:t xml:space="preserve"> you and</w:t>
      </w:r>
      <w:r w:rsidR="005232BD" w:rsidRPr="005232BD">
        <w:rPr>
          <w:rFonts w:cs="Arial"/>
        </w:rPr>
        <w:t xml:space="preserve"> MSD with real-time visibility of transitional housing places. You can get access or cancel access if </w:t>
      </w:r>
      <w:r w:rsidR="00C20178">
        <w:rPr>
          <w:rFonts w:cs="Arial"/>
        </w:rPr>
        <w:t>staff</w:t>
      </w:r>
      <w:r w:rsidR="00C20178" w:rsidRPr="005232BD">
        <w:rPr>
          <w:rFonts w:cs="Arial"/>
        </w:rPr>
        <w:t xml:space="preserve"> </w:t>
      </w:r>
      <w:r w:rsidR="005232BD" w:rsidRPr="005232BD">
        <w:rPr>
          <w:rFonts w:cs="Arial"/>
        </w:rPr>
        <w:t xml:space="preserve">leave your organisation, by emailing MSD at </w:t>
      </w:r>
      <w:hyperlink r:id="rId44" w:history="1">
        <w:r w:rsidR="005232BD" w:rsidRPr="0064100B">
          <w:rPr>
            <w:rStyle w:val="Hyperlink"/>
            <w:rFonts w:cs="Arial"/>
          </w:rPr>
          <w:t>TH_vacancy_management@msd.govt.nz</w:t>
        </w:r>
      </w:hyperlink>
      <w:r w:rsidR="005232BD">
        <w:rPr>
          <w:rFonts w:cs="Arial"/>
        </w:rPr>
        <w:t xml:space="preserve">. </w:t>
      </w:r>
    </w:p>
    <w:p w14:paraId="0D010970" w14:textId="77777777" w:rsidR="00C20178" w:rsidRDefault="005232BD" w:rsidP="005232BD">
      <w:pPr>
        <w:pStyle w:val="HUDBody"/>
        <w:rPr>
          <w:rFonts w:cs="Arial"/>
        </w:rPr>
      </w:pPr>
      <w:r w:rsidRPr="005232BD">
        <w:rPr>
          <w:rFonts w:cs="Arial"/>
        </w:rPr>
        <w:t>Most of your transitional housing processes are undertaken through</w:t>
      </w:r>
      <w:r w:rsidR="00F80F7B">
        <w:rPr>
          <w:rFonts w:cs="Arial"/>
        </w:rPr>
        <w:t xml:space="preserve"> the</w:t>
      </w:r>
      <w:r w:rsidRPr="005232BD">
        <w:rPr>
          <w:rFonts w:cs="Arial"/>
        </w:rPr>
        <w:t xml:space="preserve"> THVM (for example, vacancies, referrals and placements).</w:t>
      </w:r>
    </w:p>
    <w:p w14:paraId="5549CA0B" w14:textId="0C438967" w:rsidR="005232BD" w:rsidRPr="005232BD" w:rsidRDefault="00F80F7B" w:rsidP="005232BD">
      <w:pPr>
        <w:pStyle w:val="HUDBody"/>
        <w:rPr>
          <w:rFonts w:cs="Arial"/>
        </w:rPr>
      </w:pPr>
      <w:r>
        <w:rPr>
          <w:rFonts w:cs="Arial"/>
        </w:rPr>
        <w:t xml:space="preserve">The </w:t>
      </w:r>
      <w:r w:rsidR="005232BD" w:rsidRPr="005232BD">
        <w:rPr>
          <w:rFonts w:cs="Arial"/>
        </w:rPr>
        <w:t>THVM does not replace normal administrative processes (for example, contract management, invoice generation or complaints management). This information will still need to be sent to your Senior Advisor</w:t>
      </w:r>
      <w:r>
        <w:rPr>
          <w:rFonts w:cs="Arial"/>
        </w:rPr>
        <w:t xml:space="preserve"> at Te Tūāpapa Kura Kāinga</w:t>
      </w:r>
      <w:r w:rsidR="005232BD" w:rsidRPr="005232BD">
        <w:rPr>
          <w:rFonts w:cs="Arial"/>
        </w:rPr>
        <w:t xml:space="preserve">. </w:t>
      </w:r>
    </w:p>
    <w:p w14:paraId="0AD8EC54" w14:textId="58B2AA6D" w:rsidR="005232BD" w:rsidRPr="005232BD" w:rsidRDefault="005232BD" w:rsidP="005232BD">
      <w:pPr>
        <w:pStyle w:val="HUDBody"/>
        <w:rPr>
          <w:rFonts w:cs="Arial"/>
        </w:rPr>
      </w:pPr>
      <w:r w:rsidRPr="005232BD">
        <w:rPr>
          <w:rFonts w:cs="Arial"/>
        </w:rPr>
        <w:t xml:space="preserve">Further information about </w:t>
      </w:r>
      <w:r w:rsidR="007D441F">
        <w:rPr>
          <w:rFonts w:cs="Arial"/>
        </w:rPr>
        <w:t xml:space="preserve">the </w:t>
      </w:r>
      <w:r w:rsidRPr="005232BD">
        <w:rPr>
          <w:rFonts w:cs="Arial"/>
        </w:rPr>
        <w:t xml:space="preserve">THVM can be found </w:t>
      </w:r>
      <w:r w:rsidR="007D441F">
        <w:rPr>
          <w:rFonts w:cs="Arial"/>
        </w:rPr>
        <w:t>below.</w:t>
      </w:r>
    </w:p>
    <w:p w14:paraId="3EEF0E4F" w14:textId="04BF46C3" w:rsidR="005232BD" w:rsidRPr="005232BD" w:rsidRDefault="005232BD" w:rsidP="003639BD">
      <w:pPr>
        <w:pStyle w:val="HUDBody"/>
        <w:rPr>
          <w:rFonts w:cs="Arial"/>
        </w:rPr>
      </w:pPr>
      <w:hyperlink r:id="rId45" w:history="1">
        <w:r w:rsidRPr="00C20178">
          <w:rPr>
            <w:rStyle w:val="Hyperlink"/>
            <w:rFonts w:cs="Arial"/>
          </w:rPr>
          <w:t>Demonstration</w:t>
        </w:r>
        <w:r w:rsidR="007D441F" w:rsidRPr="00C20178">
          <w:rPr>
            <w:rStyle w:val="Hyperlink"/>
            <w:rFonts w:cs="Arial"/>
          </w:rPr>
          <w:t xml:space="preserve"> of the</w:t>
        </w:r>
        <w:r w:rsidRPr="00C20178">
          <w:rPr>
            <w:rStyle w:val="Hyperlink"/>
            <w:rFonts w:cs="Arial"/>
          </w:rPr>
          <w:t xml:space="preserve"> </w:t>
        </w:r>
        <w:r w:rsidR="007D441F" w:rsidRPr="00C20178">
          <w:rPr>
            <w:rStyle w:val="Hyperlink"/>
            <w:rFonts w:cs="Arial"/>
          </w:rPr>
          <w:t>THVM</w:t>
        </w:r>
        <w:r w:rsidRPr="00C20178">
          <w:rPr>
            <w:rStyle w:val="Hyperlink"/>
            <w:rFonts w:cs="Arial"/>
          </w:rPr>
          <w:t xml:space="preserve"> (vimeo.com)</w:t>
        </w:r>
      </w:hyperlink>
    </w:p>
    <w:p w14:paraId="7404C496" w14:textId="0B5BF320" w:rsidR="005232BD" w:rsidRPr="005232BD" w:rsidRDefault="005232BD" w:rsidP="003639BD">
      <w:pPr>
        <w:pStyle w:val="HUDBody"/>
        <w:rPr>
          <w:rFonts w:cs="Arial"/>
        </w:rPr>
      </w:pPr>
      <w:hyperlink r:id="rId46" w:history="1">
        <w:r w:rsidRPr="007D441F">
          <w:rPr>
            <w:rStyle w:val="Hyperlink"/>
            <w:rFonts w:cs="Arial"/>
          </w:rPr>
          <w:t>User guide</w:t>
        </w:r>
        <w:r w:rsidR="007D441F" w:rsidRPr="007D441F">
          <w:rPr>
            <w:rStyle w:val="Hyperlink"/>
            <w:rFonts w:cs="Arial"/>
          </w:rPr>
          <w:t xml:space="preserve"> for providers</w:t>
        </w:r>
      </w:hyperlink>
      <w:r w:rsidR="007D441F">
        <w:rPr>
          <w:rFonts w:cs="Arial"/>
        </w:rPr>
        <w:t xml:space="preserve"> (3.98MB, pdf)</w:t>
      </w:r>
    </w:p>
    <w:p w14:paraId="46B5775A" w14:textId="62980A71" w:rsidR="005232BD" w:rsidRDefault="005232BD" w:rsidP="003639BD">
      <w:pPr>
        <w:pStyle w:val="HUDBody"/>
        <w:rPr>
          <w:rFonts w:cs="Arial"/>
        </w:rPr>
      </w:pPr>
      <w:hyperlink r:id="rId47" w:history="1">
        <w:r w:rsidRPr="007D441F">
          <w:rPr>
            <w:rStyle w:val="Hyperlink"/>
            <w:rFonts w:cs="Arial"/>
          </w:rPr>
          <w:t>Frequently asked questions</w:t>
        </w:r>
      </w:hyperlink>
      <w:r w:rsidR="007D441F">
        <w:rPr>
          <w:rFonts w:cs="Arial"/>
        </w:rPr>
        <w:t xml:space="preserve"> (161KB, pdf) </w:t>
      </w:r>
    </w:p>
    <w:p w14:paraId="1B5EC71A" w14:textId="70A8BD6D" w:rsidR="005232BD" w:rsidRDefault="005232BD" w:rsidP="005232BD">
      <w:pPr>
        <w:pStyle w:val="HUDHeading3"/>
      </w:pPr>
      <w:bookmarkStart w:id="56" w:name="_Toc208995943"/>
      <w:r w:rsidRPr="005232BD">
        <w:t>ShareFile</w:t>
      </w:r>
      <w:bookmarkEnd w:id="56"/>
    </w:p>
    <w:p w14:paraId="56BF68E3" w14:textId="25367321" w:rsidR="005232BD" w:rsidRDefault="007D441F" w:rsidP="005232BD">
      <w:pPr>
        <w:pStyle w:val="HUDBody"/>
        <w:rPr>
          <w:rFonts w:cs="Arial"/>
        </w:rPr>
      </w:pPr>
      <w:r>
        <w:rPr>
          <w:rFonts w:cs="Arial"/>
        </w:rPr>
        <w:t xml:space="preserve">The </w:t>
      </w:r>
      <w:r w:rsidR="005232BD" w:rsidRPr="005232BD">
        <w:rPr>
          <w:rFonts w:cs="Arial"/>
        </w:rPr>
        <w:t>THVM has replaced Share</w:t>
      </w:r>
      <w:r>
        <w:rPr>
          <w:rFonts w:cs="Arial"/>
        </w:rPr>
        <w:t>F</w:t>
      </w:r>
      <w:r w:rsidR="005232BD" w:rsidRPr="005232BD">
        <w:rPr>
          <w:rFonts w:cs="Arial"/>
        </w:rPr>
        <w:t>ile</w:t>
      </w:r>
      <w:r w:rsidR="005232BD">
        <w:rPr>
          <w:rStyle w:val="FootnoteReference"/>
          <w:rFonts w:cs="Arial"/>
        </w:rPr>
        <w:footnoteReference w:id="8"/>
      </w:r>
      <w:r w:rsidR="005232BD" w:rsidRPr="005232BD">
        <w:rPr>
          <w:rFonts w:cs="Arial"/>
        </w:rPr>
        <w:t xml:space="preserve">. However, where you </w:t>
      </w:r>
      <w:r w:rsidRPr="005232BD">
        <w:rPr>
          <w:rFonts w:cs="Arial"/>
        </w:rPr>
        <w:t>cannot</w:t>
      </w:r>
      <w:r w:rsidR="005232BD" w:rsidRPr="005232BD">
        <w:rPr>
          <w:rFonts w:cs="Arial"/>
        </w:rPr>
        <w:t xml:space="preserve"> use </w:t>
      </w:r>
      <w:r>
        <w:rPr>
          <w:rFonts w:cs="Arial"/>
        </w:rPr>
        <w:t xml:space="preserve">the </w:t>
      </w:r>
      <w:r w:rsidR="005232BD" w:rsidRPr="005232BD">
        <w:rPr>
          <w:rFonts w:cs="Arial"/>
        </w:rPr>
        <w:t>THVM, you may still use Share</w:t>
      </w:r>
      <w:r>
        <w:rPr>
          <w:rFonts w:cs="Arial"/>
        </w:rPr>
        <w:t>F</w:t>
      </w:r>
      <w:r w:rsidR="005232BD" w:rsidRPr="005232BD">
        <w:rPr>
          <w:rFonts w:cs="Arial"/>
        </w:rPr>
        <w:t>ile. It is expected this would only be in limited scenarios.</w:t>
      </w:r>
    </w:p>
    <w:p w14:paraId="0C74243D" w14:textId="77777777" w:rsidR="00C20178" w:rsidRDefault="00C20178" w:rsidP="005232BD">
      <w:pPr>
        <w:pStyle w:val="HUDBody"/>
        <w:rPr>
          <w:rFonts w:cs="Arial"/>
        </w:rPr>
      </w:pPr>
    </w:p>
    <w:p w14:paraId="17F9850C" w14:textId="77777777" w:rsidR="005232BD" w:rsidRPr="005232BD" w:rsidRDefault="005232BD" w:rsidP="005232BD">
      <w:pPr>
        <w:pStyle w:val="HUDHeading1"/>
      </w:pPr>
      <w:bookmarkStart w:id="57" w:name="_Toc208995944"/>
      <w:r w:rsidRPr="005232BD">
        <w:t>6.1 Managing household information</w:t>
      </w:r>
      <w:bookmarkEnd w:id="57"/>
      <w:r w:rsidRPr="005232BD">
        <w:t xml:space="preserve"> </w:t>
      </w:r>
    </w:p>
    <w:p w14:paraId="5A71CD63" w14:textId="34EB73F5" w:rsidR="005232BD" w:rsidRPr="005232BD" w:rsidRDefault="005232BD" w:rsidP="005232BD">
      <w:pPr>
        <w:pStyle w:val="HUDBody"/>
        <w:rPr>
          <w:rFonts w:cs="Arial"/>
        </w:rPr>
      </w:pPr>
      <w:r w:rsidRPr="005232BD">
        <w:rPr>
          <w:rFonts w:cs="Arial"/>
        </w:rPr>
        <w:t xml:space="preserve">You must comply with the Privacy Act 2020 when collecting, sharing, storing, using and disclosing client information. </w:t>
      </w:r>
    </w:p>
    <w:p w14:paraId="5AE1395D" w14:textId="47CC55F8" w:rsidR="005232BD" w:rsidRPr="005232BD" w:rsidRDefault="005232BD" w:rsidP="005232BD">
      <w:pPr>
        <w:pStyle w:val="HUDBody"/>
        <w:rPr>
          <w:rFonts w:cs="Arial"/>
        </w:rPr>
      </w:pPr>
      <w:r w:rsidRPr="005232BD">
        <w:rPr>
          <w:rFonts w:cs="Arial"/>
        </w:rPr>
        <w:t>MSD will only ever share household information with you relevant to the service you provide. The information provided should only ever be used for this purpose. Household information must not be accessed by anyone without the appropriate authority to do so.</w:t>
      </w:r>
    </w:p>
    <w:p w14:paraId="0D627BEE" w14:textId="165FDDC1" w:rsidR="005232BD" w:rsidRDefault="005232BD" w:rsidP="005232BD">
      <w:pPr>
        <w:pStyle w:val="HUDBody"/>
        <w:rPr>
          <w:rFonts w:cs="Arial"/>
        </w:rPr>
      </w:pPr>
      <w:r w:rsidRPr="005232BD">
        <w:rPr>
          <w:rFonts w:cs="Arial"/>
        </w:rPr>
        <w:t xml:space="preserve">Only </w:t>
      </w:r>
      <w:r w:rsidR="007D441F">
        <w:rPr>
          <w:rFonts w:cs="Arial"/>
        </w:rPr>
        <w:t xml:space="preserve">the </w:t>
      </w:r>
      <w:r w:rsidRPr="005232BD">
        <w:rPr>
          <w:rFonts w:cs="Arial"/>
        </w:rPr>
        <w:t>THVM (or ShareFile) may</w:t>
      </w:r>
      <w:r w:rsidR="00C20178">
        <w:rPr>
          <w:rFonts w:cs="Arial"/>
        </w:rPr>
        <w:t xml:space="preserve"> </w:t>
      </w:r>
      <w:r w:rsidRPr="005232BD">
        <w:rPr>
          <w:rFonts w:cs="Arial"/>
        </w:rPr>
        <w:t xml:space="preserve">be used to share client information. No client information is to be sent </w:t>
      </w:r>
      <w:r w:rsidR="00C20178">
        <w:rPr>
          <w:rFonts w:cs="Arial"/>
        </w:rPr>
        <w:t>using</w:t>
      </w:r>
      <w:r w:rsidR="00C20178" w:rsidRPr="005232BD">
        <w:rPr>
          <w:rFonts w:cs="Arial"/>
        </w:rPr>
        <w:t xml:space="preserve"> </w:t>
      </w:r>
      <w:r w:rsidRPr="005232BD">
        <w:rPr>
          <w:rFonts w:cs="Arial"/>
        </w:rPr>
        <w:t xml:space="preserve">any other method such as email, fax, post and courier or in person, between you and MSD or </w:t>
      </w:r>
      <w:r w:rsidR="007D441F">
        <w:rPr>
          <w:rFonts w:cs="Arial"/>
        </w:rPr>
        <w:t>Te Tūāpapa Kura Kāinga</w:t>
      </w:r>
      <w:r w:rsidRPr="005232BD">
        <w:rPr>
          <w:rFonts w:cs="Arial"/>
        </w:rPr>
        <w:t>.</w:t>
      </w:r>
    </w:p>
    <w:p w14:paraId="16391675" w14:textId="77777777" w:rsidR="005232BD" w:rsidRPr="005232BD" w:rsidRDefault="005232BD" w:rsidP="005232BD">
      <w:pPr>
        <w:pStyle w:val="HUDHeading2"/>
      </w:pPr>
      <w:bookmarkStart w:id="58" w:name="_Toc208995945"/>
      <w:r w:rsidRPr="005232BD">
        <w:t>Privacy breaches</w:t>
      </w:r>
      <w:bookmarkEnd w:id="58"/>
    </w:p>
    <w:p w14:paraId="271F3470" w14:textId="77777777" w:rsidR="005232BD" w:rsidRPr="005232BD" w:rsidRDefault="005232BD" w:rsidP="005232BD">
      <w:pPr>
        <w:pStyle w:val="HUDHeading3"/>
      </w:pPr>
      <w:bookmarkStart w:id="59" w:name="_Toc208995946"/>
      <w:r w:rsidRPr="005232BD">
        <w:t>Definition</w:t>
      </w:r>
      <w:bookmarkEnd w:id="59"/>
    </w:p>
    <w:p w14:paraId="732B6D6C" w14:textId="77777777" w:rsidR="005232BD" w:rsidRPr="005232BD" w:rsidRDefault="005232BD" w:rsidP="005232BD">
      <w:pPr>
        <w:pStyle w:val="HUDBody"/>
        <w:rPr>
          <w:rFonts w:cs="Arial"/>
        </w:rPr>
      </w:pPr>
      <w:r w:rsidRPr="005232BD">
        <w:rPr>
          <w:rFonts w:cs="Arial"/>
        </w:rPr>
        <w:t>A privacy breach occurs when personal information is improperly handled through:</w:t>
      </w:r>
    </w:p>
    <w:p w14:paraId="6411C609" w14:textId="1504D77A" w:rsidR="005232BD" w:rsidRPr="005232BD" w:rsidRDefault="007D441F" w:rsidP="005E21D3">
      <w:pPr>
        <w:pStyle w:val="HUDBullets"/>
      </w:pPr>
      <w:r>
        <w:lastRenderedPageBreak/>
        <w:t>u</w:t>
      </w:r>
      <w:r w:rsidR="005232BD" w:rsidRPr="005232BD">
        <w:t xml:space="preserve">nauthorised or accidental access </w:t>
      </w:r>
    </w:p>
    <w:p w14:paraId="18E74693" w14:textId="6F2E93A5" w:rsidR="005232BD" w:rsidRPr="005232BD" w:rsidRDefault="007D441F" w:rsidP="005E21D3">
      <w:pPr>
        <w:pStyle w:val="HUDBullets"/>
      </w:pPr>
      <w:r>
        <w:t>i</w:t>
      </w:r>
      <w:r w:rsidR="005232BD" w:rsidRPr="005232BD">
        <w:t xml:space="preserve">mproper disclosure, alteration, loss or destruction </w:t>
      </w:r>
    </w:p>
    <w:p w14:paraId="7B8B402D" w14:textId="68E318F9" w:rsidR="005232BD" w:rsidRPr="005232BD" w:rsidRDefault="007D441F" w:rsidP="005E21D3">
      <w:pPr>
        <w:pStyle w:val="HUDBullets"/>
      </w:pPr>
      <w:r>
        <w:t>p</w:t>
      </w:r>
      <w:r w:rsidR="005232BD" w:rsidRPr="005232BD">
        <w:t>reventing individuals from accessing their own personal information (such as through account compromise).</w:t>
      </w:r>
    </w:p>
    <w:p w14:paraId="282A0931" w14:textId="77777777" w:rsidR="005232BD" w:rsidRPr="005232BD" w:rsidRDefault="005232BD" w:rsidP="005232BD">
      <w:pPr>
        <w:pStyle w:val="HUDHeading2"/>
      </w:pPr>
      <w:bookmarkStart w:id="60" w:name="_Toc208995947"/>
      <w:r w:rsidRPr="005232BD">
        <w:t>Legal obligations</w:t>
      </w:r>
      <w:bookmarkEnd w:id="60"/>
    </w:p>
    <w:p w14:paraId="6FAF669A" w14:textId="4BBCDD8C" w:rsidR="005232BD" w:rsidRDefault="005232BD" w:rsidP="005232BD">
      <w:pPr>
        <w:pStyle w:val="HUDBody"/>
        <w:rPr>
          <w:rFonts w:cs="Arial"/>
        </w:rPr>
      </w:pPr>
      <w:r w:rsidRPr="005232BD">
        <w:rPr>
          <w:rFonts w:cs="Arial"/>
        </w:rPr>
        <w:t>Under the Privacy Act 2020, notifiable privacy breaches must be reported. A notifiable breach is one that has caused or is likely to cause serious harm.</w:t>
      </w:r>
    </w:p>
    <w:p w14:paraId="792A950C" w14:textId="28EF499E" w:rsidR="0063040C" w:rsidRPr="005232BD" w:rsidRDefault="0063040C" w:rsidP="005232BD">
      <w:pPr>
        <w:pStyle w:val="HUDBody"/>
        <w:rPr>
          <w:rFonts w:cs="Arial"/>
        </w:rPr>
      </w:pPr>
      <w:hyperlink r:id="rId48" w:history="1">
        <w:r w:rsidRPr="0063040C">
          <w:rPr>
            <w:rStyle w:val="Hyperlink"/>
            <w:rFonts w:cs="Arial"/>
          </w:rPr>
          <w:t>Privacy Act 2020 (legislation.govt.nz)</w:t>
        </w:r>
      </w:hyperlink>
    </w:p>
    <w:p w14:paraId="37001EED" w14:textId="77777777" w:rsidR="005232BD" w:rsidRPr="005232BD" w:rsidRDefault="005232BD" w:rsidP="005232BD">
      <w:pPr>
        <w:pStyle w:val="HUDHeading2"/>
      </w:pPr>
      <w:bookmarkStart w:id="61" w:name="_Toc208995948"/>
      <w:r w:rsidRPr="005232BD">
        <w:t>Reporting requirements</w:t>
      </w:r>
      <w:bookmarkEnd w:id="61"/>
    </w:p>
    <w:p w14:paraId="1AAF430A" w14:textId="77777777" w:rsidR="005232BD" w:rsidRPr="005232BD" w:rsidRDefault="005232BD" w:rsidP="005232BD">
      <w:pPr>
        <w:pStyle w:val="HUDBody"/>
        <w:rPr>
          <w:rFonts w:cs="Arial"/>
        </w:rPr>
      </w:pPr>
      <w:r w:rsidRPr="005232BD">
        <w:rPr>
          <w:rFonts w:cs="Arial"/>
        </w:rPr>
        <w:t>If a notifiable breach occurs, you must:</w:t>
      </w:r>
    </w:p>
    <w:p w14:paraId="50ABA169" w14:textId="075AEDD6" w:rsidR="005232BD" w:rsidRPr="005232BD" w:rsidRDefault="00C20178" w:rsidP="005E21D3">
      <w:pPr>
        <w:pStyle w:val="HUDBullets"/>
        <w:rPr>
          <w:rFonts w:cs="Arial"/>
        </w:rPr>
      </w:pPr>
      <w:r>
        <w:rPr>
          <w:rFonts w:cs="Arial"/>
        </w:rPr>
        <w:t>n</w:t>
      </w:r>
      <w:r w:rsidR="005232BD" w:rsidRPr="005232BD">
        <w:rPr>
          <w:rFonts w:cs="Arial"/>
        </w:rPr>
        <w:t xml:space="preserve">otify </w:t>
      </w:r>
      <w:r w:rsidR="007D441F">
        <w:rPr>
          <w:rFonts w:cs="Arial"/>
        </w:rPr>
        <w:t>us</w:t>
      </w:r>
      <w:r w:rsidR="005232BD" w:rsidRPr="005232BD">
        <w:rPr>
          <w:rFonts w:cs="Arial"/>
        </w:rPr>
        <w:t xml:space="preserve">, MSD and the </w:t>
      </w:r>
      <w:r w:rsidRPr="003639BD">
        <w:t>Privacy Commissioner</w:t>
      </w:r>
    </w:p>
    <w:p w14:paraId="635C1D9F" w14:textId="58B7AA3E" w:rsidR="005232BD" w:rsidRPr="005232BD" w:rsidRDefault="00C20178" w:rsidP="005E21D3">
      <w:pPr>
        <w:pStyle w:val="HUDBullets"/>
        <w:rPr>
          <w:rFonts w:cs="Arial"/>
        </w:rPr>
      </w:pPr>
      <w:r>
        <w:rPr>
          <w:rFonts w:cs="Arial"/>
        </w:rPr>
        <w:t>i</w:t>
      </w:r>
      <w:r w:rsidR="005232BD" w:rsidRPr="005232BD">
        <w:rPr>
          <w:rFonts w:cs="Arial"/>
        </w:rPr>
        <w:t>nform affected individuals</w:t>
      </w:r>
    </w:p>
    <w:p w14:paraId="5FE94CDA" w14:textId="190ADEDF" w:rsidR="005232BD" w:rsidRPr="005232BD" w:rsidRDefault="00C20178" w:rsidP="005E21D3">
      <w:pPr>
        <w:pStyle w:val="HUDBullets"/>
        <w:rPr>
          <w:rFonts w:cs="Arial"/>
        </w:rPr>
      </w:pPr>
      <w:r>
        <w:rPr>
          <w:rFonts w:cs="Arial"/>
        </w:rPr>
        <w:t>m</w:t>
      </w:r>
      <w:r w:rsidR="005232BD" w:rsidRPr="005232BD">
        <w:rPr>
          <w:rFonts w:cs="Arial"/>
        </w:rPr>
        <w:t>ake these notifications as soon as reasonably practicable.</w:t>
      </w:r>
    </w:p>
    <w:p w14:paraId="14363D36" w14:textId="5114DC64" w:rsidR="005232BD" w:rsidRDefault="00C20178" w:rsidP="005232BD">
      <w:pPr>
        <w:pStyle w:val="HUDBody"/>
        <w:rPr>
          <w:rFonts w:cs="Arial"/>
        </w:rPr>
      </w:pPr>
      <w:r>
        <w:rPr>
          <w:rFonts w:cs="Arial"/>
        </w:rPr>
        <w:t>N</w:t>
      </w:r>
      <w:r w:rsidR="005232BD" w:rsidRPr="005232BD">
        <w:rPr>
          <w:rFonts w:cs="Arial"/>
        </w:rPr>
        <w:t>otification to the Privacy Commissioner should occur within 72 hours of becoming aware of a notifiable breach.</w:t>
      </w:r>
    </w:p>
    <w:p w14:paraId="3AE47FFF" w14:textId="1FAA33EB" w:rsidR="007D441F" w:rsidRPr="005232BD" w:rsidRDefault="00C20178" w:rsidP="005232BD">
      <w:pPr>
        <w:pStyle w:val="HUDBody"/>
        <w:rPr>
          <w:rFonts w:cs="Arial"/>
        </w:rPr>
      </w:pPr>
      <w:hyperlink r:id="rId49" w:history="1">
        <w:r>
          <w:rPr>
            <w:rStyle w:val="Hyperlink"/>
            <w:rFonts w:cs="Arial"/>
          </w:rPr>
          <w:t>Privacy breeches (privacy.org.nz)</w:t>
        </w:r>
      </w:hyperlink>
    </w:p>
    <w:p w14:paraId="7FD6F750" w14:textId="77777777" w:rsidR="005232BD" w:rsidRPr="005232BD" w:rsidRDefault="005232BD" w:rsidP="005232BD">
      <w:pPr>
        <w:pStyle w:val="HUDHeading3"/>
      </w:pPr>
      <w:bookmarkStart w:id="62" w:name="_Toc208995949"/>
      <w:r w:rsidRPr="005232BD">
        <w:t>Correcting inaccurate household information</w:t>
      </w:r>
      <w:bookmarkEnd w:id="62"/>
      <w:r w:rsidRPr="005232BD">
        <w:t xml:space="preserve"> </w:t>
      </w:r>
    </w:p>
    <w:p w14:paraId="74DAA8D4" w14:textId="77777777" w:rsidR="005232BD" w:rsidRPr="005232BD" w:rsidRDefault="005232BD" w:rsidP="005232BD">
      <w:pPr>
        <w:pStyle w:val="HUDBody"/>
        <w:rPr>
          <w:rFonts w:cs="Arial"/>
        </w:rPr>
      </w:pPr>
      <w:r w:rsidRPr="005232BD">
        <w:rPr>
          <w:rFonts w:cs="Arial"/>
        </w:rPr>
        <w:t xml:space="preserve">If a household informs you that the information you hold about them is incorrect or incomplete, you will need to correct the information or attach a statement to their record stating the correction sought by the household. </w:t>
      </w:r>
    </w:p>
    <w:p w14:paraId="3AAA7048" w14:textId="48340F24" w:rsidR="005232BD" w:rsidRDefault="005232BD" w:rsidP="005232BD">
      <w:pPr>
        <w:pStyle w:val="HUDBody"/>
        <w:rPr>
          <w:rFonts w:cs="Arial"/>
        </w:rPr>
      </w:pPr>
      <w:r w:rsidRPr="005232BD">
        <w:rPr>
          <w:rFonts w:cs="Arial"/>
        </w:rPr>
        <w:t xml:space="preserve">If the incorrect information has been provided by MSD, you are required to inform MSD about the corrections. Where appropriate, you should advise the household to contact MSD if they </w:t>
      </w:r>
      <w:r w:rsidR="00C32822">
        <w:rPr>
          <w:rFonts w:cs="Arial"/>
        </w:rPr>
        <w:t>want</w:t>
      </w:r>
      <w:r w:rsidRPr="005232BD">
        <w:rPr>
          <w:rFonts w:cs="Arial"/>
        </w:rPr>
        <w:t xml:space="preserve"> the information corrected in MSD’s records.</w:t>
      </w:r>
    </w:p>
    <w:p w14:paraId="7CB820B6" w14:textId="1035AABA" w:rsidR="005232BD" w:rsidRPr="005232BD" w:rsidRDefault="00C20178" w:rsidP="005232BD">
      <w:pPr>
        <w:pStyle w:val="HUDHeading3"/>
      </w:pPr>
      <w:bookmarkStart w:id="63" w:name="_Toc208995950"/>
      <w:r>
        <w:t>Providing</w:t>
      </w:r>
      <w:r w:rsidRPr="005232BD">
        <w:t xml:space="preserve"> </w:t>
      </w:r>
      <w:r w:rsidR="005232BD" w:rsidRPr="005232BD">
        <w:t>household information</w:t>
      </w:r>
      <w:bookmarkEnd w:id="63"/>
      <w:r w:rsidR="005232BD" w:rsidRPr="005232BD">
        <w:t xml:space="preserve"> </w:t>
      </w:r>
    </w:p>
    <w:p w14:paraId="3ECBD04A" w14:textId="77777777" w:rsidR="005232BD" w:rsidRPr="005232BD" w:rsidRDefault="005232BD" w:rsidP="005232BD">
      <w:pPr>
        <w:pStyle w:val="HUDBody"/>
        <w:rPr>
          <w:rFonts w:cs="Arial"/>
        </w:rPr>
      </w:pPr>
      <w:r w:rsidRPr="005232BD">
        <w:rPr>
          <w:rFonts w:cs="Arial"/>
        </w:rPr>
        <w:t>You are required to provide the household with any information you hold about them if requested.</w:t>
      </w:r>
    </w:p>
    <w:p w14:paraId="2C028F8F" w14:textId="77777777" w:rsidR="005232BD" w:rsidRPr="005232BD" w:rsidRDefault="005232BD" w:rsidP="003639BD">
      <w:pPr>
        <w:pStyle w:val="HUDHeading3"/>
      </w:pPr>
      <w:bookmarkStart w:id="64" w:name="_Toc208995951"/>
      <w:r w:rsidRPr="005232BD">
        <w:t>Storage and security of household information</w:t>
      </w:r>
      <w:bookmarkEnd w:id="64"/>
      <w:r w:rsidRPr="005232BD">
        <w:t xml:space="preserve"> </w:t>
      </w:r>
    </w:p>
    <w:p w14:paraId="7C3347A9" w14:textId="5502425B" w:rsidR="005232BD" w:rsidRDefault="005232BD" w:rsidP="003639BD">
      <w:pPr>
        <w:pStyle w:val="HUDBody"/>
      </w:pPr>
      <w:r w:rsidRPr="005232BD">
        <w:rPr>
          <w:rFonts w:cs="Arial"/>
        </w:rPr>
        <w:t>If you need to store client’s personal information, including information provided by MSD, you must safeguard</w:t>
      </w:r>
      <w:r w:rsidR="00C32822">
        <w:rPr>
          <w:rFonts w:cs="Arial"/>
        </w:rPr>
        <w:t xml:space="preserve"> the information</w:t>
      </w:r>
      <w:r w:rsidRPr="005232BD">
        <w:rPr>
          <w:rFonts w:cs="Arial"/>
        </w:rPr>
        <w:t xml:space="preserve"> against</w:t>
      </w:r>
      <w:r w:rsidR="00C32822">
        <w:rPr>
          <w:rFonts w:cs="Arial"/>
        </w:rPr>
        <w:t xml:space="preserve"> </w:t>
      </w:r>
      <w:r w:rsidR="00C32822">
        <w:t>l</w:t>
      </w:r>
      <w:r w:rsidRPr="005232BD">
        <w:t>oss</w:t>
      </w:r>
      <w:r w:rsidR="00C32822">
        <w:t>, u</w:t>
      </w:r>
      <w:r w:rsidRPr="005232BD">
        <w:t>nauthorised access, use, modification or disclosure</w:t>
      </w:r>
      <w:r w:rsidR="00C32822">
        <w:t xml:space="preserve"> and o</w:t>
      </w:r>
      <w:r w:rsidRPr="005232BD">
        <w:t>ther misuse.</w:t>
      </w:r>
    </w:p>
    <w:p w14:paraId="72CB985C" w14:textId="77777777" w:rsidR="001B4562" w:rsidRPr="005232BD" w:rsidRDefault="001B4562" w:rsidP="003639BD">
      <w:pPr>
        <w:pStyle w:val="HUDBody"/>
      </w:pPr>
    </w:p>
    <w:p w14:paraId="565125CA" w14:textId="77777777" w:rsidR="005232BD" w:rsidRPr="005232BD" w:rsidRDefault="005232BD" w:rsidP="005232BD">
      <w:pPr>
        <w:pStyle w:val="HUDHeading3"/>
      </w:pPr>
      <w:bookmarkStart w:id="65" w:name="_Toc208995952"/>
      <w:r w:rsidRPr="005232BD">
        <w:lastRenderedPageBreak/>
        <w:t>Electronic storage</w:t>
      </w:r>
      <w:bookmarkEnd w:id="65"/>
    </w:p>
    <w:p w14:paraId="022398EB" w14:textId="77777777" w:rsidR="005232BD" w:rsidRDefault="005232BD" w:rsidP="005232BD">
      <w:pPr>
        <w:pStyle w:val="HUDBody"/>
        <w:rPr>
          <w:rFonts w:cs="Arial"/>
        </w:rPr>
      </w:pPr>
      <w:r w:rsidRPr="005232BD">
        <w:rPr>
          <w:rFonts w:cs="Arial"/>
        </w:rPr>
        <w:t>When storing household information electronically, your systems, processes, procedures and policies must comply with the New Zealand Information Security Manual (NZISM). Your organisation must implement processes to mitigate the risk of unauthorised access, including regular security updates and password management protocols.</w:t>
      </w:r>
    </w:p>
    <w:p w14:paraId="2AAE1D61" w14:textId="77A1F18A" w:rsidR="005232BD" w:rsidRPr="005232BD" w:rsidRDefault="005232BD" w:rsidP="005232BD">
      <w:pPr>
        <w:pStyle w:val="HUDBody"/>
        <w:rPr>
          <w:rFonts w:cs="Arial"/>
        </w:rPr>
      </w:pPr>
      <w:r w:rsidRPr="005232BD">
        <w:rPr>
          <w:rFonts w:cs="Arial"/>
        </w:rPr>
        <w:t xml:space="preserve">Each user must be assigned their own individual account with unique login credentials. Password sharing is strictly prohibited. All passwords must </w:t>
      </w:r>
      <w:r w:rsidR="00C32822">
        <w:rPr>
          <w:rFonts w:cs="Arial"/>
        </w:rPr>
        <w:t xml:space="preserve">meet </w:t>
      </w:r>
      <w:r w:rsidRPr="005232BD">
        <w:rPr>
          <w:rFonts w:cs="Arial"/>
        </w:rPr>
        <w:t xml:space="preserve">the minimum standards specified in the current version of the NZISM </w:t>
      </w:r>
      <w:r w:rsidR="00C32822">
        <w:rPr>
          <w:rFonts w:cs="Arial"/>
        </w:rPr>
        <w:t xml:space="preserve">for </w:t>
      </w:r>
      <w:r w:rsidRPr="005232BD">
        <w:rPr>
          <w:rFonts w:cs="Arial"/>
        </w:rPr>
        <w:t xml:space="preserve">adequate protection of sensitive information. </w:t>
      </w:r>
    </w:p>
    <w:p w14:paraId="74A9D9F2" w14:textId="1ABC2A54" w:rsidR="005232BD" w:rsidRDefault="005232BD" w:rsidP="005232BD">
      <w:pPr>
        <w:pStyle w:val="HUDBody"/>
        <w:rPr>
          <w:rFonts w:cs="Arial"/>
        </w:rPr>
      </w:pPr>
      <w:r w:rsidRPr="005232BD">
        <w:rPr>
          <w:rFonts w:cs="Arial"/>
        </w:rPr>
        <w:t xml:space="preserve">When a user leaves your organisation their THVM, ShareFile and all other system access </w:t>
      </w:r>
      <w:r w:rsidR="00C32822">
        <w:rPr>
          <w:rFonts w:cs="Arial"/>
        </w:rPr>
        <w:t xml:space="preserve">must </w:t>
      </w:r>
      <w:r w:rsidRPr="005232BD">
        <w:rPr>
          <w:rFonts w:cs="Arial"/>
        </w:rPr>
        <w:t xml:space="preserve">be removed.  </w:t>
      </w:r>
    </w:p>
    <w:p w14:paraId="76E03040" w14:textId="77777777" w:rsidR="00C20178" w:rsidRPr="005232BD" w:rsidRDefault="00C20178" w:rsidP="00C20178">
      <w:pPr>
        <w:pStyle w:val="HUDBody"/>
        <w:rPr>
          <w:rFonts w:cs="Arial"/>
        </w:rPr>
      </w:pPr>
      <w:hyperlink r:id="rId50" w:history="1">
        <w:r w:rsidRPr="00C20178">
          <w:rPr>
            <w:rStyle w:val="Hyperlink"/>
            <w:rFonts w:cs="Arial"/>
          </w:rPr>
          <w:t>New Zealand Information Security Manual (nzism.gcsb.govt.nz)</w:t>
        </w:r>
      </w:hyperlink>
    </w:p>
    <w:p w14:paraId="331B033D" w14:textId="77777777" w:rsidR="005232BD" w:rsidRPr="005232BD" w:rsidRDefault="005232BD" w:rsidP="005232BD">
      <w:pPr>
        <w:pStyle w:val="HUDHeading3"/>
      </w:pPr>
      <w:bookmarkStart w:id="66" w:name="_Toc208995953"/>
      <w:r w:rsidRPr="005232BD">
        <w:t>Physical storage</w:t>
      </w:r>
      <w:bookmarkEnd w:id="66"/>
    </w:p>
    <w:p w14:paraId="2E580B69" w14:textId="036CF57D" w:rsidR="005232BD" w:rsidRPr="005232BD" w:rsidRDefault="005232BD" w:rsidP="005232BD">
      <w:pPr>
        <w:pStyle w:val="HUDBody"/>
        <w:rPr>
          <w:rFonts w:cs="Arial"/>
        </w:rPr>
      </w:pPr>
      <w:r w:rsidRPr="005232BD">
        <w:rPr>
          <w:rFonts w:cs="Arial"/>
        </w:rPr>
        <w:t>When not in use</w:t>
      </w:r>
      <w:r w:rsidR="00C32822">
        <w:rPr>
          <w:rFonts w:cs="Arial"/>
        </w:rPr>
        <w:t>,</w:t>
      </w:r>
      <w:r w:rsidRPr="005232BD">
        <w:rPr>
          <w:rFonts w:cs="Arial"/>
        </w:rPr>
        <w:t xml:space="preserve"> physical copies of household’s personal information, records and documents must be kept in a locked storage receptacle.</w:t>
      </w:r>
    </w:p>
    <w:p w14:paraId="02BA833B" w14:textId="77777777" w:rsidR="005232BD" w:rsidRPr="005232BD" w:rsidRDefault="005232BD" w:rsidP="005232BD">
      <w:pPr>
        <w:pStyle w:val="HUDHeading3"/>
      </w:pPr>
      <w:bookmarkStart w:id="67" w:name="_Toc208995954"/>
      <w:r w:rsidRPr="005232BD">
        <w:t>Disposing of information</w:t>
      </w:r>
      <w:bookmarkEnd w:id="67"/>
      <w:r w:rsidRPr="005232BD">
        <w:t xml:space="preserve"> </w:t>
      </w:r>
    </w:p>
    <w:p w14:paraId="484917DE" w14:textId="77777777" w:rsidR="005232BD" w:rsidRPr="005232BD" w:rsidRDefault="005232BD" w:rsidP="005232BD">
      <w:pPr>
        <w:pStyle w:val="HUDBody"/>
        <w:rPr>
          <w:rFonts w:cs="Arial"/>
        </w:rPr>
      </w:pPr>
      <w:r w:rsidRPr="005232BD">
        <w:rPr>
          <w:rFonts w:cs="Arial"/>
        </w:rPr>
        <w:t>You must not keep a household’s personal information provided by MSD for any period longer than for the purpose it was provided for.</w:t>
      </w:r>
    </w:p>
    <w:p w14:paraId="37258AA6" w14:textId="068FDA52" w:rsidR="005232BD" w:rsidRPr="005232BD" w:rsidRDefault="005232BD" w:rsidP="005232BD">
      <w:pPr>
        <w:pStyle w:val="HUDBody"/>
        <w:rPr>
          <w:rFonts w:cs="Arial"/>
        </w:rPr>
      </w:pPr>
      <w:r w:rsidRPr="005232BD">
        <w:rPr>
          <w:rFonts w:cs="Arial"/>
        </w:rPr>
        <w:t>When disposing of a household’s personal information you must take all reasonable steps to safeguard against interception, misuse and disclosure.</w:t>
      </w:r>
    </w:p>
    <w:p w14:paraId="32B4F662" w14:textId="51404535" w:rsidR="005232BD" w:rsidRDefault="005232BD" w:rsidP="00C20178">
      <w:pPr>
        <w:pStyle w:val="HUDBody"/>
      </w:pPr>
      <w:r w:rsidRPr="005232BD">
        <w:t>Hard copies must be disposed of in a secure destruction</w:t>
      </w:r>
      <w:r w:rsidR="00C32822">
        <w:t xml:space="preserve"> or </w:t>
      </w:r>
      <w:r w:rsidRPr="005232BD">
        <w:t>shredding bin (not a regular bin) or through a document destruction agency</w:t>
      </w:r>
      <w:r w:rsidR="00C20178">
        <w:t xml:space="preserve"> and e</w:t>
      </w:r>
      <w:r w:rsidRPr="005232BD">
        <w:t>lectronic documents must be deleted permanently.</w:t>
      </w:r>
    </w:p>
    <w:p w14:paraId="3A521911" w14:textId="77777777" w:rsidR="00C20178" w:rsidRDefault="00C20178" w:rsidP="003639BD">
      <w:pPr>
        <w:pStyle w:val="HUDBody"/>
      </w:pPr>
    </w:p>
    <w:p w14:paraId="58899166" w14:textId="77777777" w:rsidR="005E21D3" w:rsidRPr="005E21D3" w:rsidRDefault="005E21D3" w:rsidP="005E21D3">
      <w:pPr>
        <w:pStyle w:val="HUDHeading1"/>
      </w:pPr>
      <w:bookmarkStart w:id="68" w:name="_Toc208995955"/>
      <w:r w:rsidRPr="005E21D3">
        <w:t>6.2 Protecting household privacy</w:t>
      </w:r>
      <w:bookmarkEnd w:id="68"/>
    </w:p>
    <w:p w14:paraId="309BEE17" w14:textId="5E173CD9" w:rsidR="005E21D3" w:rsidRPr="005E21D3" w:rsidRDefault="00C20178" w:rsidP="005E21D3">
      <w:pPr>
        <w:pStyle w:val="HUDBody"/>
        <w:rPr>
          <w:rFonts w:cs="Arial"/>
        </w:rPr>
      </w:pPr>
      <w:r>
        <w:rPr>
          <w:rFonts w:cs="Arial"/>
        </w:rPr>
        <w:t>The referral you receive in the THVM will show whether the client and household members</w:t>
      </w:r>
      <w:r w:rsidR="005E21D3" w:rsidRPr="005E21D3">
        <w:rPr>
          <w:rFonts w:cs="Arial"/>
        </w:rPr>
        <w:t xml:space="preserve"> referred by MSD have given consent </w:t>
      </w:r>
      <w:r>
        <w:rPr>
          <w:rFonts w:cs="Arial"/>
        </w:rPr>
        <w:t>to share their information</w:t>
      </w:r>
      <w:r w:rsidR="005E21D3" w:rsidRPr="005E21D3">
        <w:rPr>
          <w:rFonts w:cs="Arial"/>
        </w:rPr>
        <w:t xml:space="preserve">. You will not receive a referral if the household has not given their consent.   </w:t>
      </w:r>
    </w:p>
    <w:p w14:paraId="6909C1BE" w14:textId="3C863BC1" w:rsidR="005E21D3" w:rsidRPr="005E21D3" w:rsidRDefault="005E21D3" w:rsidP="005E21D3">
      <w:pPr>
        <w:pStyle w:val="HUDBody"/>
        <w:rPr>
          <w:rFonts w:cs="Arial"/>
        </w:rPr>
      </w:pPr>
      <w:r w:rsidRPr="005E21D3">
        <w:rPr>
          <w:rFonts w:cs="Arial"/>
        </w:rPr>
        <w:t xml:space="preserve">In the case of a self-referral or third-party referral, households should complete the housing privacy consent form. MSD will not disclose any information to you until the household has completed and signed a </w:t>
      </w:r>
      <w:r w:rsidR="00C32822" w:rsidRPr="003639BD">
        <w:t>housing privacy consent form</w:t>
      </w:r>
      <w:r w:rsidRPr="005E21D3">
        <w:rPr>
          <w:rFonts w:cs="Arial"/>
        </w:rPr>
        <w:t xml:space="preserve">. </w:t>
      </w:r>
    </w:p>
    <w:p w14:paraId="365A8A9D" w14:textId="77777777" w:rsidR="005E21D3" w:rsidRDefault="005E21D3" w:rsidP="005E21D3">
      <w:pPr>
        <w:pStyle w:val="HUDBody"/>
        <w:rPr>
          <w:rFonts w:cs="Arial"/>
        </w:rPr>
      </w:pPr>
      <w:r w:rsidRPr="005E21D3">
        <w:rPr>
          <w:rFonts w:cs="Arial"/>
        </w:rPr>
        <w:t>Once signed by the household, the forms should be sent to MSD via THVM.</w:t>
      </w:r>
    </w:p>
    <w:p w14:paraId="6A79523C" w14:textId="07A46BC3" w:rsidR="00C32822" w:rsidRPr="005E21D3" w:rsidRDefault="00C32822" w:rsidP="005E21D3">
      <w:pPr>
        <w:pStyle w:val="HUDBody"/>
        <w:rPr>
          <w:rFonts w:cs="Arial"/>
        </w:rPr>
      </w:pPr>
      <w:hyperlink r:id="rId51" w:history="1">
        <w:r w:rsidRPr="00C32822">
          <w:rPr>
            <w:rStyle w:val="Hyperlink"/>
            <w:rFonts w:cs="Arial"/>
          </w:rPr>
          <w:t>Housing privacy consent form</w:t>
        </w:r>
      </w:hyperlink>
      <w:r>
        <w:rPr>
          <w:rFonts w:cs="Arial"/>
        </w:rPr>
        <w:t xml:space="preserve"> (756KB, pdf)</w:t>
      </w:r>
    </w:p>
    <w:p w14:paraId="4A8474CA" w14:textId="04AF3CAD" w:rsidR="005E21D3" w:rsidRPr="005E21D3" w:rsidRDefault="005E21D3" w:rsidP="005E21D3">
      <w:pPr>
        <w:pStyle w:val="HUDHeading2"/>
      </w:pPr>
      <w:bookmarkStart w:id="69" w:name="_Toc208995956"/>
      <w:r w:rsidRPr="005E21D3">
        <w:lastRenderedPageBreak/>
        <w:t xml:space="preserve">Disclosure of personal information to </w:t>
      </w:r>
      <w:r w:rsidR="00C32822">
        <w:t>Te Tūāpapa Kura Kāinga</w:t>
      </w:r>
      <w:bookmarkEnd w:id="69"/>
    </w:p>
    <w:p w14:paraId="5681355C" w14:textId="36FD8A37" w:rsidR="005E21D3" w:rsidRPr="005E21D3" w:rsidRDefault="005E21D3" w:rsidP="005E21D3">
      <w:pPr>
        <w:pStyle w:val="HUDBody"/>
        <w:rPr>
          <w:rFonts w:cs="Arial"/>
        </w:rPr>
      </w:pPr>
      <w:r w:rsidRPr="005E21D3">
        <w:rPr>
          <w:rFonts w:cs="Arial"/>
        </w:rPr>
        <w:t>You must include the following statement in your existing privacy statements, consent forms, or applications forms</w:t>
      </w:r>
      <w:r w:rsidR="00C32822">
        <w:rPr>
          <w:rFonts w:cs="Arial"/>
        </w:rPr>
        <w:t>.</w:t>
      </w:r>
    </w:p>
    <w:p w14:paraId="35E8EB4E" w14:textId="2D510022" w:rsidR="005E21D3" w:rsidRPr="005E21D3" w:rsidRDefault="005E21D3" w:rsidP="005E21D3">
      <w:pPr>
        <w:pStyle w:val="HUDBody"/>
        <w:rPr>
          <w:rFonts w:cs="Arial"/>
        </w:rPr>
      </w:pPr>
      <w:r w:rsidRPr="005E21D3">
        <w:rPr>
          <w:rFonts w:cs="Arial"/>
        </w:rPr>
        <w:t>“As part of delivering housing services, we are required to disclose some personal information about you to Te Tūāpapa Kura Kāinga – Ministry of Housing and Urban Development (</w:t>
      </w:r>
      <w:r w:rsidR="00C32822">
        <w:rPr>
          <w:rFonts w:cs="Arial"/>
        </w:rPr>
        <w:t>Te Tūāpapa Kura Kāinga</w:t>
      </w:r>
      <w:r w:rsidRPr="005E21D3">
        <w:rPr>
          <w:rFonts w:cs="Arial"/>
        </w:rPr>
        <w:t xml:space="preserve">). </w:t>
      </w:r>
      <w:r w:rsidR="00C32822">
        <w:rPr>
          <w:rFonts w:cs="Arial"/>
        </w:rPr>
        <w:t>Te Tūāpapa Kura Kāinga</w:t>
      </w:r>
      <w:r w:rsidRPr="005E21D3">
        <w:rPr>
          <w:rFonts w:cs="Arial"/>
        </w:rPr>
        <w:t xml:space="preserve"> regulates </w:t>
      </w:r>
      <w:r w:rsidR="00C32822">
        <w:rPr>
          <w:rFonts w:cs="Arial"/>
        </w:rPr>
        <w:t xml:space="preserve">Aotearoa </w:t>
      </w:r>
      <w:r w:rsidRPr="005E21D3">
        <w:rPr>
          <w:rFonts w:cs="Arial"/>
        </w:rPr>
        <w:t xml:space="preserve">New Zealand’s housing system and is responsible for funding the housing services we deliver. The personal information we disclose to </w:t>
      </w:r>
      <w:r w:rsidR="00C32822">
        <w:rPr>
          <w:rFonts w:cs="Arial"/>
        </w:rPr>
        <w:t>Te Tūāpapa Kura Kāinga</w:t>
      </w:r>
      <w:r w:rsidR="00C32822" w:rsidRPr="005E21D3">
        <w:rPr>
          <w:rFonts w:cs="Arial"/>
        </w:rPr>
        <w:t xml:space="preserve"> </w:t>
      </w:r>
      <w:r w:rsidRPr="005E21D3">
        <w:rPr>
          <w:rFonts w:cs="Arial"/>
        </w:rPr>
        <w:t>varies according to the services you use, but may include your name, gender, date of birth, ethnicity, number of dependents and information about your use of services.</w:t>
      </w:r>
    </w:p>
    <w:p w14:paraId="4397E3DB" w14:textId="783B8037" w:rsidR="005E21D3" w:rsidRPr="005E21D3" w:rsidRDefault="00C32822" w:rsidP="005E21D3">
      <w:pPr>
        <w:pStyle w:val="HUDBody"/>
        <w:rPr>
          <w:rFonts w:cs="Arial"/>
        </w:rPr>
      </w:pPr>
      <w:r>
        <w:rPr>
          <w:rFonts w:cs="Arial"/>
        </w:rPr>
        <w:t>Te Tūāpapa Kura Kāinga</w:t>
      </w:r>
      <w:r w:rsidRPr="005E21D3">
        <w:rPr>
          <w:rFonts w:cs="Arial"/>
        </w:rPr>
        <w:t xml:space="preserve"> </w:t>
      </w:r>
      <w:r w:rsidR="005E21D3" w:rsidRPr="005E21D3">
        <w:rPr>
          <w:rFonts w:cs="Arial"/>
        </w:rPr>
        <w:t xml:space="preserve">will use this information to manage our operational functions and for research and monitoring purposes. You have the right to ask for a copy of any personal information </w:t>
      </w:r>
      <w:r>
        <w:rPr>
          <w:rFonts w:cs="Arial"/>
        </w:rPr>
        <w:t>Te Tūāpapa Kura Kāinga</w:t>
      </w:r>
      <w:r w:rsidRPr="005E21D3">
        <w:rPr>
          <w:rFonts w:cs="Arial"/>
        </w:rPr>
        <w:t xml:space="preserve"> </w:t>
      </w:r>
      <w:r w:rsidR="005E21D3" w:rsidRPr="005E21D3">
        <w:rPr>
          <w:rFonts w:cs="Arial"/>
        </w:rPr>
        <w:t xml:space="preserve">holds about you, and to ask for it to be corrected if you think it is wrong, by contacting privacy@hud.govt.nz”.   </w:t>
      </w:r>
    </w:p>
    <w:p w14:paraId="350D1E34" w14:textId="24BBD989" w:rsidR="005E21D3" w:rsidRDefault="005E21D3" w:rsidP="005E21D3">
      <w:pPr>
        <w:pStyle w:val="HUDBody"/>
        <w:rPr>
          <w:rFonts w:cs="Arial"/>
        </w:rPr>
      </w:pPr>
      <w:r w:rsidRPr="005E21D3">
        <w:rPr>
          <w:rFonts w:cs="Arial"/>
        </w:rPr>
        <w:t xml:space="preserve">You can read </w:t>
      </w:r>
      <w:r w:rsidR="00C32822">
        <w:rPr>
          <w:rFonts w:cs="Arial"/>
        </w:rPr>
        <w:t>our</w:t>
      </w:r>
      <w:r w:rsidR="00C32822" w:rsidRPr="005E21D3">
        <w:rPr>
          <w:rFonts w:cs="Arial"/>
        </w:rPr>
        <w:t xml:space="preserve"> </w:t>
      </w:r>
      <w:r w:rsidRPr="005E21D3">
        <w:rPr>
          <w:rFonts w:cs="Arial"/>
        </w:rPr>
        <w:t>privacy statement</w:t>
      </w:r>
      <w:r w:rsidR="00E222A6">
        <w:rPr>
          <w:rFonts w:cs="Arial"/>
        </w:rPr>
        <w:t xml:space="preserve"> on our website.</w:t>
      </w:r>
    </w:p>
    <w:p w14:paraId="4474E27B" w14:textId="77381BA6" w:rsidR="00E222A6" w:rsidRPr="005E21D3" w:rsidRDefault="00E222A6" w:rsidP="005E21D3">
      <w:pPr>
        <w:pStyle w:val="HUDBody"/>
        <w:rPr>
          <w:rFonts w:cs="Arial"/>
        </w:rPr>
      </w:pPr>
      <w:hyperlink r:id="rId52" w:anchor="housing" w:history="1">
        <w:r w:rsidRPr="00E222A6">
          <w:rPr>
            <w:rStyle w:val="Hyperlink"/>
            <w:rFonts w:cs="Arial"/>
          </w:rPr>
          <w:t>Privacy statement – housing services (hud.govt.nz)</w:t>
        </w:r>
      </w:hyperlink>
    </w:p>
    <w:p w14:paraId="534C7BF8" w14:textId="77777777" w:rsidR="005E21D3" w:rsidRPr="005E21D3" w:rsidRDefault="005E21D3" w:rsidP="005E21D3">
      <w:pPr>
        <w:pStyle w:val="HUDHeading2"/>
      </w:pPr>
      <w:bookmarkStart w:id="70" w:name="_Toc208995957"/>
      <w:r w:rsidRPr="005E21D3">
        <w:t>Conflict of interest</w:t>
      </w:r>
      <w:bookmarkEnd w:id="70"/>
    </w:p>
    <w:p w14:paraId="0BAF0C3E" w14:textId="77777777" w:rsidR="005E21D3" w:rsidRPr="005E21D3" w:rsidRDefault="005E21D3" w:rsidP="005E21D3">
      <w:pPr>
        <w:pStyle w:val="HUDBody"/>
        <w:rPr>
          <w:rFonts w:cs="Arial"/>
        </w:rPr>
      </w:pPr>
      <w:r w:rsidRPr="005E21D3">
        <w:rPr>
          <w:rFonts w:cs="Arial"/>
        </w:rPr>
        <w:t>A conflict of interest occurs when your personal or business interests or obligations could conflict with your obligations as a transitional housing provider, potentially compromising independence, objectivity or impartiality. This applies to the provider organisation as well as its officers, employees, agents, contractors and sub-contractors. Conflicts can be:</w:t>
      </w:r>
    </w:p>
    <w:p w14:paraId="5575514E" w14:textId="660E1480" w:rsidR="005E21D3" w:rsidRPr="005E21D3" w:rsidRDefault="00C32822" w:rsidP="005E21D3">
      <w:pPr>
        <w:pStyle w:val="HUDBullets"/>
      </w:pPr>
      <w:r>
        <w:t>a</w:t>
      </w:r>
      <w:r w:rsidR="005E21D3" w:rsidRPr="003639BD">
        <w:t>ctual</w:t>
      </w:r>
      <w:r w:rsidR="005E21D3" w:rsidRPr="005E21D3">
        <w:t xml:space="preserve">: </w:t>
      </w:r>
      <w:r>
        <w:t>t</w:t>
      </w:r>
      <w:r w:rsidR="005E21D3" w:rsidRPr="005E21D3">
        <w:t>he conflict currently exists</w:t>
      </w:r>
    </w:p>
    <w:p w14:paraId="10BD12AD" w14:textId="3530F11E" w:rsidR="005E21D3" w:rsidRPr="005E21D3" w:rsidRDefault="00C32822" w:rsidP="005E21D3">
      <w:pPr>
        <w:pStyle w:val="HUDBullets"/>
      </w:pPr>
      <w:r>
        <w:t>p</w:t>
      </w:r>
      <w:r w:rsidR="005E21D3" w:rsidRPr="003639BD">
        <w:t>otential</w:t>
      </w:r>
      <w:r w:rsidR="005E21D3" w:rsidRPr="005E21D3">
        <w:t xml:space="preserve">: </w:t>
      </w:r>
      <w:r w:rsidR="0046232B">
        <w:t>t</w:t>
      </w:r>
      <w:r w:rsidR="005E21D3" w:rsidRPr="005E21D3">
        <w:t>he conflict is about to happen or could happen</w:t>
      </w:r>
    </w:p>
    <w:p w14:paraId="40823B8F" w14:textId="37EBD4D1" w:rsidR="005E21D3" w:rsidRPr="005E21D3" w:rsidRDefault="00C32822" w:rsidP="005E21D3">
      <w:pPr>
        <w:pStyle w:val="HUDBullets"/>
      </w:pPr>
      <w:r>
        <w:t>p</w:t>
      </w:r>
      <w:r w:rsidR="005E21D3" w:rsidRPr="003639BD">
        <w:t>erceived</w:t>
      </w:r>
      <w:r w:rsidR="005E21D3" w:rsidRPr="005E21D3">
        <w:t xml:space="preserve">: </w:t>
      </w:r>
      <w:r w:rsidR="0046232B">
        <w:t>o</w:t>
      </w:r>
      <w:r w:rsidR="005E21D3" w:rsidRPr="005E21D3">
        <w:t>thers might reasonably think there is a conflict.</w:t>
      </w:r>
    </w:p>
    <w:p w14:paraId="5F33A614" w14:textId="77777777" w:rsidR="005E21D3" w:rsidRPr="005E21D3" w:rsidRDefault="005E21D3" w:rsidP="005E21D3">
      <w:pPr>
        <w:pStyle w:val="HUDHeading3"/>
      </w:pPr>
      <w:bookmarkStart w:id="71" w:name="_Toc208995958"/>
      <w:r w:rsidRPr="005E21D3">
        <w:t>Managing conflicts of interest</w:t>
      </w:r>
      <w:bookmarkEnd w:id="71"/>
    </w:p>
    <w:p w14:paraId="5B7731E5" w14:textId="77777777" w:rsidR="005E21D3" w:rsidRPr="005E21D3" w:rsidRDefault="005E21D3" w:rsidP="005E21D3">
      <w:pPr>
        <w:pStyle w:val="HUDBody"/>
        <w:rPr>
          <w:rFonts w:cs="Arial"/>
        </w:rPr>
      </w:pPr>
      <w:r w:rsidRPr="005E21D3">
        <w:rPr>
          <w:rFonts w:cs="Arial"/>
        </w:rPr>
        <w:t>As a provider, you must:</w:t>
      </w:r>
    </w:p>
    <w:p w14:paraId="06C1F5DC" w14:textId="35BBA11B" w:rsidR="005E21D3" w:rsidRPr="005E21D3" w:rsidRDefault="00C32822" w:rsidP="005E21D3">
      <w:pPr>
        <w:pStyle w:val="HUDBullets"/>
      </w:pPr>
      <w:r>
        <w:t>t</w:t>
      </w:r>
      <w:r w:rsidR="005E21D3" w:rsidRPr="005E21D3">
        <w:t>ake proactive steps to avoid situations that might create conflicts of interest in service delivery</w:t>
      </w:r>
    </w:p>
    <w:p w14:paraId="5A01C054" w14:textId="02850879" w:rsidR="005E21D3" w:rsidRPr="005E21D3" w:rsidRDefault="00C32822" w:rsidP="005E21D3">
      <w:pPr>
        <w:pStyle w:val="HUDBullets"/>
      </w:pPr>
      <w:r>
        <w:t>p</w:t>
      </w:r>
      <w:r w:rsidR="005E21D3" w:rsidRPr="005E21D3">
        <w:t xml:space="preserve">romptly notify </w:t>
      </w:r>
      <w:r>
        <w:t>us</w:t>
      </w:r>
      <w:r w:rsidRPr="005E21D3">
        <w:t xml:space="preserve"> </w:t>
      </w:r>
      <w:r w:rsidR="005E21D3" w:rsidRPr="005E21D3">
        <w:t>of any actual, potential or perceived conflicts</w:t>
      </w:r>
    </w:p>
    <w:p w14:paraId="103C3454" w14:textId="34862343" w:rsidR="005E21D3" w:rsidRPr="005E21D3" w:rsidRDefault="00C32822" w:rsidP="005E21D3">
      <w:pPr>
        <w:pStyle w:val="HUDBullets"/>
      </w:pPr>
      <w:r>
        <w:t>w</w:t>
      </w:r>
      <w:r w:rsidR="005E21D3" w:rsidRPr="005E21D3">
        <w:t xml:space="preserve">ork with </w:t>
      </w:r>
      <w:r>
        <w:t>us</w:t>
      </w:r>
      <w:r w:rsidR="005E21D3" w:rsidRPr="005E21D3">
        <w:t xml:space="preserve"> to determine whether the conflict can be managed and document the agreed approach.</w:t>
      </w:r>
    </w:p>
    <w:p w14:paraId="70B03DE0" w14:textId="77777777" w:rsidR="005E21D3" w:rsidRPr="005E21D3" w:rsidRDefault="005E21D3" w:rsidP="005E21D3">
      <w:pPr>
        <w:pStyle w:val="HUDBody"/>
        <w:rPr>
          <w:rFonts w:cs="Arial"/>
        </w:rPr>
      </w:pPr>
      <w:r w:rsidRPr="005E21D3">
        <w:rPr>
          <w:rFonts w:cs="Arial"/>
        </w:rPr>
        <w:t xml:space="preserve">Your organisation should have internal processes to identify and manage conflicts as they arise. </w:t>
      </w:r>
    </w:p>
    <w:p w14:paraId="34429F87" w14:textId="0D569E38" w:rsidR="005E21D3" w:rsidRDefault="005E21D3" w:rsidP="005E21D3">
      <w:pPr>
        <w:pStyle w:val="HUDBody"/>
        <w:rPr>
          <w:rFonts w:cs="Arial"/>
        </w:rPr>
      </w:pPr>
      <w:r w:rsidRPr="005E21D3">
        <w:rPr>
          <w:rFonts w:cs="Arial"/>
        </w:rPr>
        <w:lastRenderedPageBreak/>
        <w:t xml:space="preserve">This approach helps household information </w:t>
      </w:r>
      <w:r w:rsidR="00E222A6">
        <w:rPr>
          <w:rFonts w:cs="Arial"/>
        </w:rPr>
        <w:t>to be</w:t>
      </w:r>
      <w:r w:rsidR="00E222A6" w:rsidRPr="005E21D3">
        <w:rPr>
          <w:rFonts w:cs="Arial"/>
        </w:rPr>
        <w:t xml:space="preserve"> </w:t>
      </w:r>
      <w:r w:rsidRPr="005E21D3">
        <w:rPr>
          <w:rFonts w:cs="Arial"/>
        </w:rPr>
        <w:t xml:space="preserve">used appropriately, decisions remain </w:t>
      </w:r>
      <w:r w:rsidR="00BF7E49" w:rsidRPr="005E21D3">
        <w:rPr>
          <w:rFonts w:cs="Arial"/>
        </w:rPr>
        <w:t>impartial,</w:t>
      </w:r>
      <w:r w:rsidRPr="005E21D3">
        <w:rPr>
          <w:rFonts w:cs="Arial"/>
        </w:rPr>
        <w:t xml:space="preserve"> and the risk or appearance of bias is effectively managed. </w:t>
      </w:r>
    </w:p>
    <w:p w14:paraId="481D4BAB" w14:textId="77777777" w:rsidR="00E222A6" w:rsidRPr="005E21D3" w:rsidRDefault="00E222A6" w:rsidP="005E21D3">
      <w:pPr>
        <w:pStyle w:val="HUDBody"/>
        <w:rPr>
          <w:rFonts w:cs="Arial"/>
        </w:rPr>
      </w:pPr>
    </w:p>
    <w:p w14:paraId="7AEEE045" w14:textId="77777777" w:rsidR="005E21D3" w:rsidRPr="005E21D3" w:rsidRDefault="005E21D3" w:rsidP="005E21D3">
      <w:pPr>
        <w:pStyle w:val="HUDHeading1"/>
      </w:pPr>
      <w:bookmarkStart w:id="72" w:name="_Toc208995959"/>
      <w:r w:rsidRPr="005E21D3">
        <w:t>6.3 Reporting and monitoring</w:t>
      </w:r>
      <w:bookmarkEnd w:id="72"/>
    </w:p>
    <w:p w14:paraId="391EBC4A" w14:textId="006D1E86" w:rsidR="005E21D3" w:rsidRPr="005E21D3" w:rsidRDefault="0046232B" w:rsidP="005E21D3">
      <w:pPr>
        <w:pStyle w:val="HUDBody"/>
        <w:rPr>
          <w:rFonts w:cs="Arial"/>
        </w:rPr>
      </w:pPr>
      <w:r>
        <w:rPr>
          <w:rFonts w:cs="Arial"/>
        </w:rPr>
        <w:t>We</w:t>
      </w:r>
      <w:r w:rsidRPr="005E21D3">
        <w:rPr>
          <w:rFonts w:cs="Arial"/>
        </w:rPr>
        <w:t xml:space="preserve"> </w:t>
      </w:r>
      <w:r w:rsidR="005E21D3" w:rsidRPr="005E21D3">
        <w:rPr>
          <w:rFonts w:cs="Arial"/>
        </w:rPr>
        <w:t>will monitor your service on an annual basis or as otherwise agreed in writing</w:t>
      </w:r>
      <w:r w:rsidR="00E222A6">
        <w:rPr>
          <w:rFonts w:cs="Arial"/>
        </w:rPr>
        <w:t>. F</w:t>
      </w:r>
      <w:r>
        <w:rPr>
          <w:rFonts w:cs="Arial"/>
        </w:rPr>
        <w:t>or example,</w:t>
      </w:r>
      <w:r w:rsidR="005E21D3" w:rsidRPr="005E21D3">
        <w:rPr>
          <w:rFonts w:cs="Arial"/>
        </w:rPr>
        <w:t xml:space="preserve"> for new providers the service agreement specifies scheduled monitoring on a six-monthly basis. Monitoring of the service </w:t>
      </w:r>
      <w:r>
        <w:rPr>
          <w:rFonts w:cs="Arial"/>
        </w:rPr>
        <w:t>is</w:t>
      </w:r>
      <w:r w:rsidR="005E21D3" w:rsidRPr="005E21D3">
        <w:rPr>
          <w:rFonts w:cs="Arial"/>
        </w:rPr>
        <w:t xml:space="preserve"> based on performance measures as per your services agreement.</w:t>
      </w:r>
    </w:p>
    <w:p w14:paraId="6B2A3B39" w14:textId="77777777" w:rsidR="005E21D3" w:rsidRPr="005E21D3" w:rsidRDefault="005E21D3" w:rsidP="005E21D3">
      <w:pPr>
        <w:pStyle w:val="HUDHeading2"/>
      </w:pPr>
      <w:bookmarkStart w:id="73" w:name="_Toc208995960"/>
      <w:r w:rsidRPr="005E21D3">
        <w:t>Other monitoring requirements</w:t>
      </w:r>
      <w:bookmarkEnd w:id="73"/>
    </w:p>
    <w:p w14:paraId="4E2ED977" w14:textId="7D86C54E" w:rsidR="005E21D3" w:rsidRDefault="005E21D3" w:rsidP="005E21D3">
      <w:pPr>
        <w:pStyle w:val="HUDBody"/>
        <w:rPr>
          <w:rFonts w:cs="Arial"/>
        </w:rPr>
      </w:pPr>
      <w:r w:rsidRPr="005E21D3">
        <w:rPr>
          <w:rFonts w:cs="Arial"/>
        </w:rPr>
        <w:t xml:space="preserve">Consistent monitoring of the household’s contributions is required </w:t>
      </w:r>
      <w:r w:rsidR="0046232B">
        <w:rPr>
          <w:rFonts w:cs="Arial"/>
        </w:rPr>
        <w:t>so</w:t>
      </w:r>
      <w:r w:rsidRPr="005E21D3">
        <w:rPr>
          <w:rFonts w:cs="Arial"/>
        </w:rPr>
        <w:t xml:space="preserve"> they do not fall </w:t>
      </w:r>
      <w:r w:rsidR="00E222A6">
        <w:rPr>
          <w:rFonts w:cs="Arial"/>
        </w:rPr>
        <w:t>behind with their payments</w:t>
      </w:r>
      <w:r w:rsidRPr="005E21D3">
        <w:rPr>
          <w:rFonts w:cs="Arial"/>
        </w:rPr>
        <w:t xml:space="preserve">. Providers are expected to work closely with households to prevent this happening. For example, after two consecutive weeks of </w:t>
      </w:r>
      <w:r w:rsidR="00E222A6">
        <w:rPr>
          <w:rFonts w:cs="Arial"/>
        </w:rPr>
        <w:t>u</w:t>
      </w:r>
      <w:r w:rsidRPr="005E21D3">
        <w:rPr>
          <w:rFonts w:cs="Arial"/>
        </w:rPr>
        <w:t xml:space="preserve">npaid contributions, you should contact MSD for </w:t>
      </w:r>
      <w:r w:rsidR="00E222A6">
        <w:rPr>
          <w:rFonts w:cs="Arial"/>
        </w:rPr>
        <w:t>help to support the household</w:t>
      </w:r>
      <w:r w:rsidRPr="005E21D3">
        <w:rPr>
          <w:rFonts w:cs="Arial"/>
        </w:rPr>
        <w:t xml:space="preserve">. </w:t>
      </w:r>
    </w:p>
    <w:p w14:paraId="4F89CD06" w14:textId="77777777" w:rsidR="00E222A6" w:rsidRPr="005E21D3" w:rsidRDefault="00E222A6" w:rsidP="005E21D3">
      <w:pPr>
        <w:pStyle w:val="HUDBody"/>
        <w:rPr>
          <w:rFonts w:cs="Arial"/>
        </w:rPr>
      </w:pPr>
    </w:p>
    <w:p w14:paraId="76598976" w14:textId="77777777" w:rsidR="005E21D3" w:rsidRPr="005E21D3" w:rsidRDefault="005E21D3" w:rsidP="005E21D3">
      <w:pPr>
        <w:pStyle w:val="HUDHeading1"/>
      </w:pPr>
      <w:bookmarkStart w:id="74" w:name="_Toc208995961"/>
      <w:r w:rsidRPr="005E21D3">
        <w:t>6.4 Business continuity</w:t>
      </w:r>
      <w:bookmarkEnd w:id="74"/>
      <w:r w:rsidRPr="005E21D3">
        <w:t xml:space="preserve"> </w:t>
      </w:r>
    </w:p>
    <w:p w14:paraId="63FB6EE6" w14:textId="77777777" w:rsidR="005E21D3" w:rsidRPr="005E21D3" w:rsidRDefault="005E21D3" w:rsidP="005E21D3">
      <w:pPr>
        <w:pStyle w:val="HUDBody"/>
        <w:rPr>
          <w:rFonts w:cs="Arial"/>
        </w:rPr>
      </w:pPr>
      <w:r w:rsidRPr="005E21D3">
        <w:rPr>
          <w:rFonts w:cs="Arial"/>
        </w:rPr>
        <w:t>Business continuity plans must be in place for exchanging information when business-as-usual processes are unavailable.</w:t>
      </w:r>
    </w:p>
    <w:p w14:paraId="3FDA5149" w14:textId="77777777" w:rsidR="005E21D3" w:rsidRPr="005E21D3" w:rsidRDefault="005E21D3" w:rsidP="005E21D3">
      <w:pPr>
        <w:pStyle w:val="HUDHeading2"/>
      </w:pPr>
      <w:bookmarkStart w:id="75" w:name="_Toc208995962"/>
      <w:r w:rsidRPr="005E21D3">
        <w:t>Provider business continuity plan</w:t>
      </w:r>
      <w:bookmarkEnd w:id="75"/>
    </w:p>
    <w:p w14:paraId="356D2E4B" w14:textId="364C2EF5" w:rsidR="005E21D3" w:rsidRPr="005E21D3" w:rsidRDefault="005E21D3" w:rsidP="005E21D3">
      <w:pPr>
        <w:pStyle w:val="HUDBody"/>
        <w:rPr>
          <w:rFonts w:cs="Arial"/>
        </w:rPr>
      </w:pPr>
      <w:r w:rsidRPr="005E21D3">
        <w:rPr>
          <w:rFonts w:cs="Arial"/>
        </w:rPr>
        <w:t>You must have a current business continuity plan that clearly details your capacity and capability to deliver services when your IT system</w:t>
      </w:r>
      <w:r w:rsidR="0046232B">
        <w:rPr>
          <w:rFonts w:cs="Arial"/>
        </w:rPr>
        <w:t xml:space="preserve"> </w:t>
      </w:r>
      <w:r w:rsidRPr="005E21D3">
        <w:rPr>
          <w:rFonts w:cs="Arial"/>
        </w:rPr>
        <w:t>is unavailable</w:t>
      </w:r>
      <w:r w:rsidR="00E222A6">
        <w:rPr>
          <w:rFonts w:cs="Arial"/>
        </w:rPr>
        <w:t>,</w:t>
      </w:r>
      <w:r w:rsidRPr="005E21D3">
        <w:rPr>
          <w:rFonts w:cs="Arial"/>
        </w:rPr>
        <w:t xml:space="preserve"> or in the event of an emergency. </w:t>
      </w:r>
    </w:p>
    <w:p w14:paraId="3895C5BE" w14:textId="77777777" w:rsidR="005E21D3" w:rsidRPr="005E21D3" w:rsidRDefault="005E21D3" w:rsidP="005E21D3">
      <w:pPr>
        <w:pStyle w:val="HUDBody"/>
        <w:rPr>
          <w:rFonts w:cs="Arial"/>
        </w:rPr>
      </w:pPr>
      <w:r w:rsidRPr="005E21D3">
        <w:rPr>
          <w:rFonts w:cs="Arial"/>
        </w:rPr>
        <w:t>Your plan should include:</w:t>
      </w:r>
    </w:p>
    <w:p w14:paraId="64CFE356" w14:textId="07D92F37" w:rsidR="005E21D3" w:rsidRPr="005E21D3" w:rsidRDefault="0046232B" w:rsidP="005E21D3">
      <w:pPr>
        <w:pStyle w:val="HUDBullets"/>
      </w:pPr>
      <w:r>
        <w:t>r</w:t>
      </w:r>
      <w:r w:rsidR="005E21D3" w:rsidRPr="005E21D3">
        <w:t>esource gaps and plans to cover these</w:t>
      </w:r>
    </w:p>
    <w:p w14:paraId="165147DD" w14:textId="20B0030E" w:rsidR="005E21D3" w:rsidRPr="005E21D3" w:rsidRDefault="0046232B" w:rsidP="005E21D3">
      <w:pPr>
        <w:pStyle w:val="HUDBullets"/>
      </w:pPr>
      <w:r>
        <w:t>a</w:t>
      </w:r>
      <w:r w:rsidR="005E21D3" w:rsidRPr="005E21D3">
        <w:t>ny support you require to cover the period of emergency management</w:t>
      </w:r>
    </w:p>
    <w:p w14:paraId="473EB929" w14:textId="7F83AB52" w:rsidR="005E21D3" w:rsidRPr="005E21D3" w:rsidRDefault="0046232B" w:rsidP="005E21D3">
      <w:pPr>
        <w:pStyle w:val="HUDBullets"/>
      </w:pPr>
      <w:r>
        <w:t>a</w:t>
      </w:r>
      <w:r w:rsidR="005E21D3" w:rsidRPr="005E21D3">
        <w:t>greement on who will contact households and how they will contact them</w:t>
      </w:r>
    </w:p>
    <w:p w14:paraId="4C52257F" w14:textId="79505EF3" w:rsidR="005E21D3" w:rsidRPr="005E21D3" w:rsidRDefault="0046232B" w:rsidP="005E21D3">
      <w:pPr>
        <w:pStyle w:val="HUDBullets"/>
      </w:pPr>
      <w:r>
        <w:t>a</w:t>
      </w:r>
      <w:r w:rsidR="005E21D3" w:rsidRPr="005E21D3">
        <w:t>greement on how your clients will be managed through a delay or emergency.</w:t>
      </w:r>
    </w:p>
    <w:p w14:paraId="06755D8B" w14:textId="77777777" w:rsidR="005E21D3" w:rsidRPr="005E21D3" w:rsidRDefault="005E21D3" w:rsidP="005E21D3">
      <w:pPr>
        <w:pStyle w:val="HUDHeading2"/>
      </w:pPr>
      <w:bookmarkStart w:id="76" w:name="_Toc208995963"/>
      <w:r w:rsidRPr="005E21D3">
        <w:t>THVM business continuity plan</w:t>
      </w:r>
      <w:bookmarkEnd w:id="76"/>
    </w:p>
    <w:p w14:paraId="55019CC0" w14:textId="315AAFAB" w:rsidR="002A61F3" w:rsidRPr="005E21D3" w:rsidRDefault="005E21D3" w:rsidP="005E21D3">
      <w:pPr>
        <w:pStyle w:val="HUDBody"/>
        <w:rPr>
          <w:rFonts w:cs="Arial"/>
        </w:rPr>
      </w:pPr>
      <w:r w:rsidRPr="005E21D3">
        <w:rPr>
          <w:rFonts w:cs="Arial"/>
        </w:rPr>
        <w:t xml:space="preserve">If </w:t>
      </w:r>
      <w:r w:rsidR="0046232B">
        <w:rPr>
          <w:rFonts w:cs="Arial"/>
        </w:rPr>
        <w:t xml:space="preserve">the </w:t>
      </w:r>
      <w:r w:rsidRPr="005E21D3">
        <w:rPr>
          <w:rFonts w:cs="Arial"/>
        </w:rPr>
        <w:t>THVM is unavailable, the exchange of client information will occur via an encrypted flash drive</w:t>
      </w:r>
      <w:r w:rsidR="00E222A6">
        <w:rPr>
          <w:rFonts w:cs="Arial"/>
        </w:rPr>
        <w:t>,</w:t>
      </w:r>
      <w:r w:rsidRPr="005E21D3">
        <w:rPr>
          <w:rFonts w:cs="Arial"/>
        </w:rPr>
        <w:t xml:space="preserve"> referred to as the iron key process</w:t>
      </w:r>
      <w:r w:rsidR="00E222A6">
        <w:rPr>
          <w:rFonts w:cs="Arial"/>
        </w:rPr>
        <w:t>,</w:t>
      </w:r>
      <w:r w:rsidRPr="005E21D3">
        <w:rPr>
          <w:rFonts w:cs="Arial"/>
        </w:rPr>
        <w:t xml:space="preserve"> described in</w:t>
      </w:r>
      <w:r w:rsidR="00E965CE">
        <w:rPr>
          <w:rFonts w:cs="Arial"/>
        </w:rPr>
        <w:t xml:space="preserve"> </w:t>
      </w:r>
      <w:hyperlink w:anchor="AP5" w:history="1">
        <w:r w:rsidR="00771482">
          <w:rPr>
            <w:rStyle w:val="Hyperlink"/>
            <w:rFonts w:cs="Arial"/>
          </w:rPr>
          <w:t>a</w:t>
        </w:r>
        <w:r w:rsidR="002A61F3" w:rsidRPr="002A61F3">
          <w:rPr>
            <w:rStyle w:val="Hyperlink"/>
            <w:rFonts w:cs="Arial"/>
          </w:rPr>
          <w:t>ppendix five</w:t>
        </w:r>
      </w:hyperlink>
      <w:r w:rsidR="00771482">
        <w:t>.</w:t>
      </w:r>
    </w:p>
    <w:p w14:paraId="68F3DF11" w14:textId="443B6B59" w:rsidR="005E21D3" w:rsidRDefault="0046232B" w:rsidP="003639BD">
      <w:pPr>
        <w:pStyle w:val="HUDBody"/>
        <w:rPr>
          <w:rFonts w:cs="Arial"/>
        </w:rPr>
      </w:pPr>
      <w:r>
        <w:rPr>
          <w:rFonts w:cs="Arial"/>
        </w:rPr>
        <w:t xml:space="preserve">Te Tūāpapa Kura Kāinga or </w:t>
      </w:r>
      <w:r w:rsidR="005E21D3" w:rsidRPr="005E21D3">
        <w:rPr>
          <w:rFonts w:cs="Arial"/>
        </w:rPr>
        <w:t>MSD will notify you if you need to use this process</w:t>
      </w:r>
      <w:r w:rsidR="005E21D3">
        <w:rPr>
          <w:rFonts w:cs="Arial"/>
        </w:rPr>
        <w:t>.</w:t>
      </w:r>
      <w:r w:rsidR="005E21D3">
        <w:rPr>
          <w:rFonts w:cs="Arial"/>
        </w:rPr>
        <w:br w:type="page"/>
      </w:r>
    </w:p>
    <w:p w14:paraId="54E5342D" w14:textId="0FE3491F" w:rsidR="005E21D3" w:rsidRDefault="005E21D3" w:rsidP="005E21D3">
      <w:pPr>
        <w:pStyle w:val="HUDHeading1"/>
      </w:pPr>
      <w:bookmarkStart w:id="77" w:name="AP1"/>
      <w:bookmarkStart w:id="78" w:name="_Toc208995964"/>
      <w:bookmarkEnd w:id="77"/>
      <w:r>
        <w:lastRenderedPageBreak/>
        <w:t>Appendix 1: Definitions</w:t>
      </w:r>
      <w:bookmarkEnd w:id="78"/>
    </w:p>
    <w:p w14:paraId="2412B49D" w14:textId="3679F434" w:rsidR="005E21D3" w:rsidRDefault="005E21D3" w:rsidP="005E21D3">
      <w:pPr>
        <w:spacing w:after="160" w:line="278" w:lineRule="auto"/>
        <w:rPr>
          <w:rFonts w:cs="Arial"/>
        </w:rPr>
      </w:pPr>
      <w:r w:rsidRPr="005E21D3">
        <w:rPr>
          <w:rFonts w:cs="Arial"/>
        </w:rPr>
        <w:t>The table below outlines the commonly used terms and their definition used throughout these guidelines.</w:t>
      </w:r>
    </w:p>
    <w:tbl>
      <w:tblPr>
        <w:tblStyle w:val="TableGrid"/>
        <w:tblW w:w="9072" w:type="dxa"/>
        <w:jc w:val="center"/>
        <w:tblCellMar>
          <w:top w:w="85" w:type="dxa"/>
          <w:left w:w="85" w:type="dxa"/>
          <w:bottom w:w="85" w:type="dxa"/>
          <w:right w:w="85" w:type="dxa"/>
        </w:tblCellMar>
        <w:tblLook w:val="04A0" w:firstRow="1" w:lastRow="0" w:firstColumn="1" w:lastColumn="0" w:noHBand="0" w:noVBand="1"/>
      </w:tblPr>
      <w:tblGrid>
        <w:gridCol w:w="2454"/>
        <w:gridCol w:w="6618"/>
      </w:tblGrid>
      <w:tr w:rsidR="005E21D3" w:rsidRPr="005E21D3" w14:paraId="5A9F6EE5" w14:textId="77777777" w:rsidTr="005E21D3">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454" w:type="dxa"/>
          </w:tcPr>
          <w:p w14:paraId="617C0A29" w14:textId="77777777" w:rsidR="005E21D3" w:rsidRPr="005E21D3" w:rsidRDefault="005E21D3" w:rsidP="005E21D3">
            <w:pPr>
              <w:spacing w:after="160" w:line="278" w:lineRule="auto"/>
              <w:rPr>
                <w:rFonts w:cs="Arial"/>
              </w:rPr>
            </w:pPr>
            <w:r w:rsidRPr="005E21D3">
              <w:rPr>
                <w:rFonts w:cs="Arial"/>
              </w:rPr>
              <w:t>Term</w:t>
            </w:r>
          </w:p>
        </w:tc>
        <w:tc>
          <w:tcPr>
            <w:tcW w:w="6618" w:type="dxa"/>
          </w:tcPr>
          <w:p w14:paraId="6E9EBC01" w14:textId="77777777" w:rsidR="005E21D3" w:rsidRPr="005E21D3" w:rsidRDefault="005E21D3" w:rsidP="005E21D3">
            <w:pPr>
              <w:spacing w:after="160" w:line="278" w:lineRule="auto"/>
              <w:cnfStyle w:val="100000000000" w:firstRow="1" w:lastRow="0" w:firstColumn="0" w:lastColumn="0" w:oddVBand="0" w:evenVBand="0" w:oddHBand="0" w:evenHBand="0" w:firstRowFirstColumn="0" w:firstRowLastColumn="0" w:lastRowFirstColumn="0" w:lastRowLastColumn="0"/>
              <w:rPr>
                <w:rFonts w:cs="Arial"/>
              </w:rPr>
            </w:pPr>
            <w:r w:rsidRPr="005E21D3">
              <w:rPr>
                <w:rFonts w:cs="Arial"/>
              </w:rPr>
              <w:t>Definition</w:t>
            </w:r>
          </w:p>
        </w:tc>
      </w:tr>
      <w:tr w:rsidR="005E21D3" w:rsidRPr="005E21D3" w14:paraId="21403A48" w14:textId="77777777" w:rsidTr="00F564CD">
        <w:trPr>
          <w:trHeight w:val="597"/>
          <w:jc w:val="center"/>
        </w:trPr>
        <w:tc>
          <w:tcPr>
            <w:cnfStyle w:val="001000000000" w:firstRow="0" w:lastRow="0" w:firstColumn="1" w:lastColumn="0" w:oddVBand="0" w:evenVBand="0" w:oddHBand="0" w:evenHBand="0" w:firstRowFirstColumn="0" w:firstRowLastColumn="0" w:lastRowFirstColumn="0" w:lastRowLastColumn="0"/>
            <w:tcW w:w="2454" w:type="dxa"/>
          </w:tcPr>
          <w:p w14:paraId="316E1CD6" w14:textId="77777777" w:rsidR="005E21D3" w:rsidRPr="005E21D3" w:rsidRDefault="005E21D3" w:rsidP="005E21D3">
            <w:pPr>
              <w:spacing w:after="160" w:line="278" w:lineRule="auto"/>
              <w:rPr>
                <w:rFonts w:cs="Arial"/>
                <w:b w:val="0"/>
              </w:rPr>
            </w:pPr>
            <w:r w:rsidRPr="005E21D3">
              <w:rPr>
                <w:rFonts w:cs="Arial"/>
                <w:b w:val="0"/>
              </w:rPr>
              <w:t>Agent</w:t>
            </w:r>
          </w:p>
        </w:tc>
        <w:tc>
          <w:tcPr>
            <w:tcW w:w="6618" w:type="dxa"/>
          </w:tcPr>
          <w:p w14:paraId="685508D1"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A nominated person or organisation that can act on behalf of an MSD client. </w:t>
            </w:r>
          </w:p>
        </w:tc>
      </w:tr>
      <w:tr w:rsidR="005E21D3" w:rsidRPr="005E21D3" w14:paraId="25A3C6A7" w14:textId="77777777" w:rsidTr="00F564CD">
        <w:trPr>
          <w:trHeight w:val="581"/>
          <w:jc w:val="center"/>
        </w:trPr>
        <w:tc>
          <w:tcPr>
            <w:cnfStyle w:val="001000000000" w:firstRow="0" w:lastRow="0" w:firstColumn="1" w:lastColumn="0" w:oddVBand="0" w:evenVBand="0" w:oddHBand="0" w:evenHBand="0" w:firstRowFirstColumn="0" w:firstRowLastColumn="0" w:lastRowFirstColumn="0" w:lastRowLastColumn="0"/>
            <w:tcW w:w="2454" w:type="dxa"/>
          </w:tcPr>
          <w:p w14:paraId="38089567" w14:textId="77777777" w:rsidR="005E21D3" w:rsidRPr="005E21D3" w:rsidRDefault="005E21D3" w:rsidP="005E21D3">
            <w:pPr>
              <w:spacing w:after="160" w:line="278" w:lineRule="auto"/>
              <w:rPr>
                <w:rFonts w:cs="Arial"/>
                <w:b w:val="0"/>
              </w:rPr>
            </w:pPr>
            <w:r w:rsidRPr="005E21D3">
              <w:rPr>
                <w:rFonts w:cs="Arial"/>
                <w:b w:val="0"/>
              </w:rPr>
              <w:t>Assessment</w:t>
            </w:r>
          </w:p>
        </w:tc>
        <w:tc>
          <w:tcPr>
            <w:tcW w:w="6618" w:type="dxa"/>
          </w:tcPr>
          <w:p w14:paraId="3C586191" w14:textId="3692141E"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Assessment of eligibility and suitability to enter a service supplied by a provider.</w:t>
            </w:r>
          </w:p>
        </w:tc>
      </w:tr>
      <w:tr w:rsidR="005E21D3" w:rsidRPr="005E21D3" w14:paraId="0FA205C8" w14:textId="77777777" w:rsidTr="00F564CD">
        <w:trPr>
          <w:trHeight w:val="555"/>
          <w:jc w:val="center"/>
        </w:trPr>
        <w:tc>
          <w:tcPr>
            <w:cnfStyle w:val="001000000000" w:firstRow="0" w:lastRow="0" w:firstColumn="1" w:lastColumn="0" w:oddVBand="0" w:evenVBand="0" w:oddHBand="0" w:evenHBand="0" w:firstRowFirstColumn="0" w:firstRowLastColumn="0" w:lastRowFirstColumn="0" w:lastRowLastColumn="0"/>
            <w:tcW w:w="2454" w:type="dxa"/>
          </w:tcPr>
          <w:p w14:paraId="1708B961" w14:textId="77777777" w:rsidR="005E21D3" w:rsidRPr="005E21D3" w:rsidRDefault="005E21D3" w:rsidP="005E21D3">
            <w:pPr>
              <w:spacing w:after="160" w:line="278" w:lineRule="auto"/>
              <w:rPr>
                <w:rFonts w:cs="Arial"/>
                <w:b w:val="0"/>
              </w:rPr>
            </w:pPr>
            <w:r w:rsidRPr="005E21D3">
              <w:rPr>
                <w:rFonts w:cs="Arial"/>
                <w:b w:val="0"/>
              </w:rPr>
              <w:t>Beneficiary</w:t>
            </w:r>
          </w:p>
        </w:tc>
        <w:tc>
          <w:tcPr>
            <w:tcW w:w="6618" w:type="dxa"/>
          </w:tcPr>
          <w:p w14:paraId="44BC875E" w14:textId="1FB13F35"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A recipient of a main benefit, New Zealand Superannuation (NZ Super) or </w:t>
            </w:r>
            <w:r w:rsidR="000F54D0">
              <w:rPr>
                <w:rFonts w:cs="Arial"/>
              </w:rPr>
              <w:t>v</w:t>
            </w:r>
            <w:r w:rsidRPr="005E21D3">
              <w:rPr>
                <w:rFonts w:cs="Arial"/>
              </w:rPr>
              <w:t xml:space="preserve">eteran’s </w:t>
            </w:r>
            <w:r w:rsidR="000F54D0">
              <w:rPr>
                <w:rFonts w:cs="Arial"/>
              </w:rPr>
              <w:t>p</w:t>
            </w:r>
            <w:r w:rsidRPr="005E21D3">
              <w:rPr>
                <w:rFonts w:cs="Arial"/>
              </w:rPr>
              <w:t>ension – excludes student allowance.</w:t>
            </w:r>
          </w:p>
        </w:tc>
      </w:tr>
      <w:tr w:rsidR="005E21D3" w:rsidRPr="005E21D3" w:rsidDel="006A5D54" w14:paraId="45E0E7BD"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55C47AF5" w14:textId="77777777" w:rsidR="005E21D3" w:rsidRPr="005E21D3" w:rsidDel="006A5D54" w:rsidRDefault="005E21D3" w:rsidP="005E21D3">
            <w:pPr>
              <w:spacing w:after="160" w:line="278" w:lineRule="auto"/>
              <w:rPr>
                <w:rFonts w:cs="Arial"/>
                <w:b w:val="0"/>
              </w:rPr>
            </w:pPr>
            <w:r w:rsidRPr="005E21D3">
              <w:rPr>
                <w:rFonts w:cs="Arial"/>
                <w:b w:val="0"/>
              </w:rPr>
              <w:t>Change in circumstance</w:t>
            </w:r>
          </w:p>
        </w:tc>
        <w:tc>
          <w:tcPr>
            <w:tcW w:w="6618" w:type="dxa"/>
          </w:tcPr>
          <w:p w14:paraId="6DADF6C5" w14:textId="77777777" w:rsidR="005E21D3" w:rsidRPr="005E21D3" w:rsidDel="006A5D54"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Change to a person’s financial or family situation that may affect their application for social housing; their entitlement to financial assistance from MSD or their contribution (including people that are not MSD clients).</w:t>
            </w:r>
          </w:p>
        </w:tc>
      </w:tr>
      <w:tr w:rsidR="005E21D3" w:rsidRPr="005E21D3" w:rsidDel="006A5D54" w14:paraId="0BAF3133"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60272762" w14:textId="77777777" w:rsidR="005E21D3" w:rsidRPr="005E21D3" w:rsidDel="006A5D54" w:rsidRDefault="005E21D3" w:rsidP="005E21D3">
            <w:pPr>
              <w:spacing w:after="160" w:line="278" w:lineRule="auto"/>
              <w:rPr>
                <w:rFonts w:cs="Arial"/>
                <w:b w:val="0"/>
              </w:rPr>
            </w:pPr>
            <w:r w:rsidRPr="005E21D3">
              <w:rPr>
                <w:rFonts w:cs="Arial"/>
                <w:b w:val="0"/>
              </w:rPr>
              <w:t xml:space="preserve">Contracted provider </w:t>
            </w:r>
          </w:p>
        </w:tc>
        <w:tc>
          <w:tcPr>
            <w:tcW w:w="6618" w:type="dxa"/>
          </w:tcPr>
          <w:p w14:paraId="591EBFC1" w14:textId="6DD294D7" w:rsidR="005E21D3" w:rsidRPr="005E21D3" w:rsidDel="006A5D54"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A transitional housing provider who is contracted by </w:t>
            </w:r>
            <w:r w:rsidR="000F54D0">
              <w:rPr>
                <w:rFonts w:cs="Arial"/>
              </w:rPr>
              <w:t>Te Tūāpapa Kura Kāinga</w:t>
            </w:r>
            <w:r w:rsidR="000F54D0" w:rsidRPr="005E21D3">
              <w:rPr>
                <w:rFonts w:cs="Arial"/>
              </w:rPr>
              <w:t xml:space="preserve"> </w:t>
            </w:r>
            <w:r w:rsidRPr="005E21D3">
              <w:rPr>
                <w:rFonts w:cs="Arial"/>
              </w:rPr>
              <w:t>to provide services for people who need immediate housing.</w:t>
            </w:r>
          </w:p>
        </w:tc>
      </w:tr>
      <w:tr w:rsidR="005E21D3" w:rsidRPr="005E21D3" w:rsidDel="006A5D54" w14:paraId="047E1EAD"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5AFF1C16" w14:textId="77777777" w:rsidR="005E21D3" w:rsidRPr="005E21D3" w:rsidDel="006A5D54" w:rsidRDefault="005E21D3" w:rsidP="005E21D3">
            <w:pPr>
              <w:spacing w:after="160" w:line="278" w:lineRule="auto"/>
              <w:rPr>
                <w:rFonts w:cs="Arial"/>
                <w:b w:val="0"/>
              </w:rPr>
            </w:pPr>
            <w:r w:rsidRPr="005E21D3">
              <w:rPr>
                <w:rFonts w:cs="Arial"/>
                <w:b w:val="0"/>
              </w:rPr>
              <w:t>Contribution for transitional housing services</w:t>
            </w:r>
          </w:p>
        </w:tc>
        <w:tc>
          <w:tcPr>
            <w:tcW w:w="6618" w:type="dxa"/>
          </w:tcPr>
          <w:p w14:paraId="07E5586E" w14:textId="77777777" w:rsidR="005E21D3" w:rsidRPr="005E21D3" w:rsidDel="006A5D54"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Twenty five percent of a client’s net income paid on a weekly basis as a contribution to receiving transitional housing services.</w:t>
            </w:r>
          </w:p>
        </w:tc>
      </w:tr>
      <w:tr w:rsidR="005E21D3" w:rsidRPr="005E21D3" w14:paraId="3AE2D911"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756B747D" w14:textId="77777777" w:rsidR="005E21D3" w:rsidRPr="005E21D3" w:rsidRDefault="005E21D3" w:rsidP="005E21D3">
            <w:pPr>
              <w:spacing w:after="160" w:line="278" w:lineRule="auto"/>
              <w:rPr>
                <w:rFonts w:cs="Arial"/>
                <w:b w:val="0"/>
              </w:rPr>
            </w:pPr>
            <w:r w:rsidRPr="005E21D3">
              <w:rPr>
                <w:rFonts w:cs="Arial"/>
                <w:b w:val="0"/>
              </w:rPr>
              <w:t>Household</w:t>
            </w:r>
          </w:p>
        </w:tc>
        <w:tc>
          <w:tcPr>
            <w:tcW w:w="6618" w:type="dxa"/>
          </w:tcPr>
          <w:p w14:paraId="3660CE9B"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People who stay in transitional housing.</w:t>
            </w:r>
          </w:p>
        </w:tc>
      </w:tr>
      <w:tr w:rsidR="005E21D3" w:rsidRPr="005E21D3" w14:paraId="18E4101D"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2BAE22F7" w14:textId="77777777" w:rsidR="005E21D3" w:rsidRPr="005E21D3" w:rsidRDefault="005E21D3" w:rsidP="005E21D3">
            <w:pPr>
              <w:spacing w:after="160" w:line="278" w:lineRule="auto"/>
              <w:rPr>
                <w:rFonts w:cs="Arial"/>
                <w:b w:val="0"/>
              </w:rPr>
            </w:pPr>
            <w:r w:rsidRPr="005E21D3">
              <w:rPr>
                <w:rFonts w:cs="Arial"/>
                <w:b w:val="0"/>
              </w:rPr>
              <w:t>Housing manager</w:t>
            </w:r>
          </w:p>
        </w:tc>
        <w:tc>
          <w:tcPr>
            <w:tcW w:w="6618" w:type="dxa"/>
          </w:tcPr>
          <w:p w14:paraId="528023A3" w14:textId="42A4EBF9"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The liaison between </w:t>
            </w:r>
            <w:r w:rsidR="000F54D0">
              <w:rPr>
                <w:rFonts w:cs="Arial"/>
              </w:rPr>
              <w:t>p</w:t>
            </w:r>
            <w:r w:rsidRPr="005E21D3">
              <w:rPr>
                <w:rFonts w:cs="Arial"/>
              </w:rPr>
              <w:t>roviders and MSD who deals with client administration.</w:t>
            </w:r>
          </w:p>
        </w:tc>
      </w:tr>
      <w:tr w:rsidR="005E21D3" w:rsidRPr="005E21D3" w14:paraId="197DA2BF"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004AF198" w14:textId="77777777" w:rsidR="005E21D3" w:rsidRPr="005E21D3" w:rsidRDefault="005E21D3" w:rsidP="005E21D3">
            <w:pPr>
              <w:spacing w:after="160" w:line="278" w:lineRule="auto"/>
              <w:rPr>
                <w:rFonts w:cs="Arial"/>
                <w:b w:val="0"/>
              </w:rPr>
            </w:pPr>
            <w:r w:rsidRPr="005E21D3">
              <w:rPr>
                <w:rFonts w:cs="Arial"/>
                <w:b w:val="0"/>
              </w:rPr>
              <w:t>Iron key</w:t>
            </w:r>
          </w:p>
        </w:tc>
        <w:tc>
          <w:tcPr>
            <w:tcW w:w="6618" w:type="dxa"/>
          </w:tcPr>
          <w:p w14:paraId="56230B84"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Is a secure portable USB flash drive to collect and exchange information between MSD and contracted providers. This applies only when MSD’s business continuity plan has been activated.</w:t>
            </w:r>
          </w:p>
        </w:tc>
      </w:tr>
      <w:tr w:rsidR="005E21D3" w:rsidRPr="005E21D3" w14:paraId="112087D9"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03D92872" w14:textId="77777777" w:rsidR="005E21D3" w:rsidRPr="005E21D3" w:rsidRDefault="005E21D3" w:rsidP="005E21D3">
            <w:pPr>
              <w:spacing w:after="160" w:line="278" w:lineRule="auto"/>
              <w:rPr>
                <w:rFonts w:cs="Arial"/>
                <w:b w:val="0"/>
              </w:rPr>
            </w:pPr>
            <w:r w:rsidRPr="005E21D3">
              <w:rPr>
                <w:rFonts w:cs="Arial"/>
                <w:b w:val="0"/>
              </w:rPr>
              <w:lastRenderedPageBreak/>
              <w:t xml:space="preserve">Longer-term housing </w:t>
            </w:r>
          </w:p>
        </w:tc>
        <w:tc>
          <w:tcPr>
            <w:tcW w:w="6618" w:type="dxa"/>
          </w:tcPr>
          <w:p w14:paraId="3CF15396"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An accommodation solution which is longer than three months and is sustainable for the client. It may include alternative housing (for example, rental, flatting or boarding in private market, home ownership) or social housing.</w:t>
            </w:r>
          </w:p>
        </w:tc>
      </w:tr>
      <w:tr w:rsidR="005E21D3" w:rsidRPr="005E21D3" w14:paraId="56015E1F"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280847F5" w14:textId="77777777" w:rsidR="005E21D3" w:rsidRPr="005E21D3" w:rsidRDefault="005E21D3" w:rsidP="005E21D3">
            <w:pPr>
              <w:spacing w:after="160" w:line="278" w:lineRule="auto"/>
              <w:rPr>
                <w:rFonts w:cs="Arial"/>
                <w:b w:val="0"/>
              </w:rPr>
            </w:pPr>
            <w:r w:rsidRPr="005E21D3">
              <w:rPr>
                <w:rFonts w:cs="Arial"/>
                <w:b w:val="0"/>
              </w:rPr>
              <w:t>Maintenance costs</w:t>
            </w:r>
          </w:p>
        </w:tc>
        <w:tc>
          <w:tcPr>
            <w:tcW w:w="6618" w:type="dxa"/>
          </w:tcPr>
          <w:p w14:paraId="60BD375A" w14:textId="4BFD90A3"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Funds that can be applied for (to </w:t>
            </w:r>
            <w:r w:rsidR="000F54D0">
              <w:rPr>
                <w:rFonts w:cs="Arial"/>
              </w:rPr>
              <w:t>Te Tūāpapa Kura Kāinga</w:t>
            </w:r>
            <w:r w:rsidRPr="005E21D3">
              <w:rPr>
                <w:rFonts w:cs="Arial"/>
              </w:rPr>
              <w:t xml:space="preserve">) by the provider as a last resort for damages (that cannot be met by other means). Further details are in the services agreement. </w:t>
            </w:r>
          </w:p>
        </w:tc>
      </w:tr>
      <w:tr w:rsidR="005E21D3" w:rsidRPr="005E21D3" w14:paraId="55E67D57"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0D84B0B8" w14:textId="77777777" w:rsidR="005E21D3" w:rsidRPr="005E21D3" w:rsidRDefault="005E21D3" w:rsidP="005E21D3">
            <w:pPr>
              <w:spacing w:after="160" w:line="278" w:lineRule="auto"/>
              <w:rPr>
                <w:rFonts w:cs="Arial"/>
                <w:b w:val="0"/>
              </w:rPr>
            </w:pPr>
            <w:r w:rsidRPr="005E21D3">
              <w:rPr>
                <w:rFonts w:cs="Arial"/>
                <w:b w:val="0"/>
              </w:rPr>
              <w:t>Non-beneficiary</w:t>
            </w:r>
          </w:p>
        </w:tc>
        <w:tc>
          <w:tcPr>
            <w:tcW w:w="6618" w:type="dxa"/>
          </w:tcPr>
          <w:p w14:paraId="367C3413" w14:textId="623EFDF4"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A person not receiving a main benefit, NZ Super or </w:t>
            </w:r>
            <w:r w:rsidR="00F315B8">
              <w:rPr>
                <w:rFonts w:cs="Arial"/>
              </w:rPr>
              <w:t>v</w:t>
            </w:r>
            <w:r w:rsidRPr="005E21D3">
              <w:rPr>
                <w:rFonts w:cs="Arial"/>
              </w:rPr>
              <w:t xml:space="preserve">eteran’s </w:t>
            </w:r>
            <w:r w:rsidR="00F315B8">
              <w:rPr>
                <w:rFonts w:cs="Arial"/>
              </w:rPr>
              <w:t>p</w:t>
            </w:r>
            <w:r w:rsidRPr="005E21D3">
              <w:rPr>
                <w:rFonts w:cs="Arial"/>
              </w:rPr>
              <w:t>ension but who may be receiving ongoing financial support (for example, student allowance, childcare assistance etc)</w:t>
            </w:r>
            <w:r w:rsidR="000F54D0">
              <w:rPr>
                <w:rFonts w:cs="Arial"/>
              </w:rPr>
              <w:t>.</w:t>
            </w:r>
          </w:p>
        </w:tc>
      </w:tr>
      <w:tr w:rsidR="005E21D3" w:rsidRPr="005E21D3" w14:paraId="71FE6892"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0663548A" w14:textId="77777777" w:rsidR="005E21D3" w:rsidRPr="005E21D3" w:rsidRDefault="005E21D3" w:rsidP="005E21D3">
            <w:pPr>
              <w:spacing w:after="160" w:line="278" w:lineRule="auto"/>
              <w:rPr>
                <w:rFonts w:cs="Arial"/>
                <w:b w:val="0"/>
              </w:rPr>
            </w:pPr>
            <w:r w:rsidRPr="005E21D3">
              <w:rPr>
                <w:rFonts w:cs="Arial"/>
                <w:b w:val="0"/>
              </w:rPr>
              <w:t xml:space="preserve">Provider </w:t>
            </w:r>
          </w:p>
        </w:tc>
        <w:tc>
          <w:tcPr>
            <w:tcW w:w="6618" w:type="dxa"/>
          </w:tcPr>
          <w:p w14:paraId="2BAEF51F" w14:textId="1990BFCF"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Housing provider who has signed a </w:t>
            </w:r>
            <w:r w:rsidR="000F54D0">
              <w:rPr>
                <w:rFonts w:cs="Arial"/>
              </w:rPr>
              <w:t>s</w:t>
            </w:r>
            <w:r w:rsidRPr="005E21D3">
              <w:rPr>
                <w:rFonts w:cs="Arial"/>
              </w:rPr>
              <w:t xml:space="preserve">ervice </w:t>
            </w:r>
            <w:r w:rsidR="000F54D0">
              <w:rPr>
                <w:rFonts w:cs="Arial"/>
              </w:rPr>
              <w:t>a</w:t>
            </w:r>
            <w:r w:rsidRPr="005E21D3">
              <w:rPr>
                <w:rFonts w:cs="Arial"/>
              </w:rPr>
              <w:t>greement with Te Tūāpapa Kura Kāinga</w:t>
            </w:r>
            <w:r w:rsidR="000F54D0">
              <w:rPr>
                <w:rFonts w:cs="Arial"/>
              </w:rPr>
              <w:t xml:space="preserve"> –</w:t>
            </w:r>
            <w:r w:rsidRPr="005E21D3">
              <w:rPr>
                <w:rFonts w:cs="Arial"/>
              </w:rPr>
              <w:t xml:space="preserve"> Ministry of Housing and Urban Development</w:t>
            </w:r>
            <w:r w:rsidR="000F54D0">
              <w:rPr>
                <w:rFonts w:cs="Arial"/>
              </w:rPr>
              <w:t>.</w:t>
            </w:r>
          </w:p>
        </w:tc>
      </w:tr>
      <w:tr w:rsidR="005E21D3" w:rsidRPr="005E21D3" w14:paraId="260DAC71" w14:textId="77777777" w:rsidTr="00F564CD">
        <w:trPr>
          <w:trHeight w:val="741"/>
          <w:jc w:val="center"/>
        </w:trPr>
        <w:tc>
          <w:tcPr>
            <w:cnfStyle w:val="001000000000" w:firstRow="0" w:lastRow="0" w:firstColumn="1" w:lastColumn="0" w:oddVBand="0" w:evenVBand="0" w:oddHBand="0" w:evenHBand="0" w:firstRowFirstColumn="0" w:firstRowLastColumn="0" w:lastRowFirstColumn="0" w:lastRowLastColumn="0"/>
            <w:tcW w:w="2454" w:type="dxa"/>
          </w:tcPr>
          <w:p w14:paraId="47FE9FBA" w14:textId="77777777" w:rsidR="005E21D3" w:rsidRPr="005E21D3" w:rsidRDefault="005E21D3" w:rsidP="005E21D3">
            <w:pPr>
              <w:spacing w:after="160" w:line="278" w:lineRule="auto"/>
              <w:rPr>
                <w:rFonts w:cs="Arial"/>
                <w:b w:val="0"/>
              </w:rPr>
            </w:pPr>
            <w:r w:rsidRPr="005E21D3">
              <w:rPr>
                <w:rFonts w:cs="Arial"/>
                <w:b w:val="0"/>
              </w:rPr>
              <w:t>Redirection of benefit</w:t>
            </w:r>
          </w:p>
        </w:tc>
        <w:tc>
          <w:tcPr>
            <w:tcW w:w="6618" w:type="dxa"/>
          </w:tcPr>
          <w:p w14:paraId="0E42719F"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Where part of a client’s benefit is paid directly to an organisation, or to a provider for a client contribution.</w:t>
            </w:r>
          </w:p>
        </w:tc>
      </w:tr>
      <w:tr w:rsidR="005E21D3" w:rsidRPr="005E21D3" w14:paraId="63D0FA49" w14:textId="77777777" w:rsidTr="00F564CD">
        <w:trPr>
          <w:trHeight w:val="943"/>
          <w:jc w:val="center"/>
        </w:trPr>
        <w:tc>
          <w:tcPr>
            <w:cnfStyle w:val="001000000000" w:firstRow="0" w:lastRow="0" w:firstColumn="1" w:lastColumn="0" w:oddVBand="0" w:evenVBand="0" w:oddHBand="0" w:evenHBand="0" w:firstRowFirstColumn="0" w:firstRowLastColumn="0" w:lastRowFirstColumn="0" w:lastRowLastColumn="0"/>
            <w:tcW w:w="2454" w:type="dxa"/>
          </w:tcPr>
          <w:p w14:paraId="759D300F" w14:textId="77777777" w:rsidR="005E21D3" w:rsidRPr="005E21D3" w:rsidRDefault="005E21D3" w:rsidP="005E21D3">
            <w:pPr>
              <w:spacing w:after="160" w:line="278" w:lineRule="auto"/>
              <w:rPr>
                <w:rFonts w:cs="Arial"/>
              </w:rPr>
            </w:pPr>
            <w:r w:rsidRPr="005E21D3">
              <w:rPr>
                <w:rFonts w:cs="Arial"/>
                <w:b w:val="0"/>
              </w:rPr>
              <w:t>Referral</w:t>
            </w:r>
          </w:p>
        </w:tc>
        <w:tc>
          <w:tcPr>
            <w:tcW w:w="6618" w:type="dxa"/>
          </w:tcPr>
          <w:p w14:paraId="2A499474"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b/>
              </w:rPr>
            </w:pPr>
            <w:r w:rsidRPr="005E21D3">
              <w:rPr>
                <w:rFonts w:cs="Arial"/>
              </w:rPr>
              <w:t>A client referred to a contracted provider for assistance with a housing need.</w:t>
            </w:r>
          </w:p>
        </w:tc>
      </w:tr>
      <w:tr w:rsidR="005E21D3" w:rsidRPr="005E21D3" w14:paraId="56778417" w14:textId="77777777" w:rsidTr="00F564CD">
        <w:trPr>
          <w:trHeight w:val="943"/>
          <w:jc w:val="center"/>
        </w:trPr>
        <w:tc>
          <w:tcPr>
            <w:cnfStyle w:val="001000000000" w:firstRow="0" w:lastRow="0" w:firstColumn="1" w:lastColumn="0" w:oddVBand="0" w:evenVBand="0" w:oddHBand="0" w:evenHBand="0" w:firstRowFirstColumn="0" w:firstRowLastColumn="0" w:lastRowFirstColumn="0" w:lastRowLastColumn="0"/>
            <w:tcW w:w="2454" w:type="dxa"/>
          </w:tcPr>
          <w:p w14:paraId="631E9BAF" w14:textId="77777777" w:rsidR="005E21D3" w:rsidRPr="005E21D3" w:rsidRDefault="005E21D3" w:rsidP="005E21D3">
            <w:pPr>
              <w:spacing w:after="160" w:line="278" w:lineRule="auto"/>
              <w:rPr>
                <w:rFonts w:cs="Arial"/>
                <w:b w:val="0"/>
              </w:rPr>
            </w:pPr>
            <w:r w:rsidRPr="005E21D3">
              <w:rPr>
                <w:rFonts w:cs="Arial"/>
                <w:b w:val="0"/>
              </w:rPr>
              <w:t xml:space="preserve">Security deposit grant </w:t>
            </w:r>
          </w:p>
        </w:tc>
        <w:tc>
          <w:tcPr>
            <w:tcW w:w="6618" w:type="dxa"/>
          </w:tcPr>
          <w:p w14:paraId="28476842" w14:textId="589F67AF"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A conditional payment approved by MSD to help individual and families access emergency or transitional housing. MSD can pay the security deposit grant to the provider for loss o</w:t>
            </w:r>
            <w:r w:rsidR="00C76A00">
              <w:rPr>
                <w:rFonts w:cs="Arial"/>
              </w:rPr>
              <w:t>r</w:t>
            </w:r>
            <w:r w:rsidRPr="005E21D3">
              <w:rPr>
                <w:rFonts w:cs="Arial"/>
              </w:rPr>
              <w:t xml:space="preserve"> damage caused either by the individual or a member of their </w:t>
            </w:r>
            <w:r w:rsidR="00F315B8">
              <w:rPr>
                <w:rFonts w:cs="Arial"/>
              </w:rPr>
              <w:t>whānau</w:t>
            </w:r>
            <w:r w:rsidR="00F315B8" w:rsidRPr="005E21D3">
              <w:rPr>
                <w:rFonts w:cs="Arial"/>
              </w:rPr>
              <w:t xml:space="preserve"> </w:t>
            </w:r>
            <w:r w:rsidRPr="005E21D3">
              <w:rPr>
                <w:rFonts w:cs="Arial"/>
              </w:rPr>
              <w:t>during their stay.</w:t>
            </w:r>
          </w:p>
        </w:tc>
      </w:tr>
      <w:tr w:rsidR="005E21D3" w:rsidRPr="005E21D3" w14:paraId="3275EC05" w14:textId="77777777" w:rsidTr="00F564CD">
        <w:trPr>
          <w:trHeight w:val="943"/>
          <w:jc w:val="center"/>
        </w:trPr>
        <w:tc>
          <w:tcPr>
            <w:cnfStyle w:val="001000000000" w:firstRow="0" w:lastRow="0" w:firstColumn="1" w:lastColumn="0" w:oddVBand="0" w:evenVBand="0" w:oddHBand="0" w:evenHBand="0" w:firstRowFirstColumn="0" w:firstRowLastColumn="0" w:lastRowFirstColumn="0" w:lastRowLastColumn="0"/>
            <w:tcW w:w="2454" w:type="dxa"/>
          </w:tcPr>
          <w:p w14:paraId="42135793" w14:textId="77777777" w:rsidR="005E21D3" w:rsidRPr="005E21D3" w:rsidRDefault="005E21D3" w:rsidP="005E21D3">
            <w:pPr>
              <w:spacing w:after="160" w:line="278" w:lineRule="auto"/>
              <w:rPr>
                <w:rFonts w:cs="Arial"/>
              </w:rPr>
            </w:pPr>
            <w:r w:rsidRPr="005E21D3">
              <w:rPr>
                <w:rFonts w:cs="Arial"/>
                <w:b w:val="0"/>
              </w:rPr>
              <w:t>ShareFile</w:t>
            </w:r>
          </w:p>
        </w:tc>
        <w:tc>
          <w:tcPr>
            <w:tcW w:w="6618" w:type="dxa"/>
          </w:tcPr>
          <w:p w14:paraId="7B13677C" w14:textId="67523568"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b/>
              </w:rPr>
            </w:pPr>
            <w:r w:rsidRPr="005E21D3">
              <w:rPr>
                <w:rFonts w:cs="Arial"/>
              </w:rPr>
              <w:t xml:space="preserve">The secure portal used for transfer of client information between the MSD, </w:t>
            </w:r>
            <w:r w:rsidR="000F54D0">
              <w:rPr>
                <w:rFonts w:cs="Arial"/>
              </w:rPr>
              <w:t>Te Tūāpapa Kura Kāinga</w:t>
            </w:r>
            <w:r w:rsidR="000F54D0" w:rsidRPr="005E21D3">
              <w:rPr>
                <w:rFonts w:cs="Arial"/>
              </w:rPr>
              <w:t xml:space="preserve"> </w:t>
            </w:r>
            <w:r w:rsidRPr="005E21D3">
              <w:rPr>
                <w:rFonts w:cs="Arial"/>
              </w:rPr>
              <w:t>and providers.</w:t>
            </w:r>
          </w:p>
        </w:tc>
      </w:tr>
      <w:tr w:rsidR="005E21D3" w:rsidRPr="005E21D3" w14:paraId="2B370FFF" w14:textId="77777777" w:rsidTr="00F564CD">
        <w:trPr>
          <w:trHeight w:val="943"/>
          <w:jc w:val="center"/>
        </w:trPr>
        <w:tc>
          <w:tcPr>
            <w:cnfStyle w:val="001000000000" w:firstRow="0" w:lastRow="0" w:firstColumn="1" w:lastColumn="0" w:oddVBand="0" w:evenVBand="0" w:oddHBand="0" w:evenHBand="0" w:firstRowFirstColumn="0" w:firstRowLastColumn="0" w:lastRowFirstColumn="0" w:lastRowLastColumn="0"/>
            <w:tcW w:w="2454" w:type="dxa"/>
          </w:tcPr>
          <w:p w14:paraId="70EC4BE9" w14:textId="77777777" w:rsidR="005E21D3" w:rsidRPr="005E21D3" w:rsidRDefault="005E21D3" w:rsidP="005E21D3">
            <w:pPr>
              <w:spacing w:after="160" w:line="278" w:lineRule="auto"/>
              <w:rPr>
                <w:rFonts w:cs="Arial"/>
              </w:rPr>
            </w:pPr>
            <w:r w:rsidRPr="005E21D3">
              <w:rPr>
                <w:rFonts w:cs="Arial"/>
                <w:b w:val="0"/>
              </w:rPr>
              <w:t xml:space="preserve">Short-term housing </w:t>
            </w:r>
          </w:p>
        </w:tc>
        <w:tc>
          <w:tcPr>
            <w:tcW w:w="6618" w:type="dxa"/>
          </w:tcPr>
          <w:p w14:paraId="34293084"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b/>
              </w:rPr>
            </w:pPr>
            <w:r w:rsidRPr="005E21D3">
              <w:rPr>
                <w:rFonts w:cs="Arial"/>
              </w:rPr>
              <w:t>Temporary accommodation that provides a stable place for the individual or family with an immediate housing need to stay while their needs can be understood and addressed and until a longer-term accommodation solution can be found. Tailored support services can also be provided to eligible individuals and whānau.</w:t>
            </w:r>
          </w:p>
        </w:tc>
      </w:tr>
      <w:tr w:rsidR="005E21D3" w:rsidRPr="005E21D3" w14:paraId="1350A7C7" w14:textId="77777777" w:rsidTr="00F564CD">
        <w:trPr>
          <w:trHeight w:val="943"/>
          <w:jc w:val="center"/>
        </w:trPr>
        <w:tc>
          <w:tcPr>
            <w:cnfStyle w:val="001000000000" w:firstRow="0" w:lastRow="0" w:firstColumn="1" w:lastColumn="0" w:oddVBand="0" w:evenVBand="0" w:oddHBand="0" w:evenHBand="0" w:firstRowFirstColumn="0" w:firstRowLastColumn="0" w:lastRowFirstColumn="0" w:lastRowLastColumn="0"/>
            <w:tcW w:w="2454" w:type="dxa"/>
          </w:tcPr>
          <w:p w14:paraId="7A6D6D85" w14:textId="27FFAEE0" w:rsidR="005E21D3" w:rsidRPr="005E21D3" w:rsidRDefault="005E21D3" w:rsidP="005E21D3">
            <w:pPr>
              <w:spacing w:after="160" w:line="278" w:lineRule="auto"/>
              <w:rPr>
                <w:rFonts w:cs="Arial"/>
              </w:rPr>
            </w:pPr>
            <w:r w:rsidRPr="005E21D3">
              <w:rPr>
                <w:rFonts w:cs="Arial"/>
                <w:b w:val="0"/>
              </w:rPr>
              <w:lastRenderedPageBreak/>
              <w:t xml:space="preserve">Temporary </w:t>
            </w:r>
            <w:r w:rsidR="00F315B8">
              <w:rPr>
                <w:rFonts w:cs="Arial"/>
                <w:b w:val="0"/>
              </w:rPr>
              <w:t>h</w:t>
            </w:r>
            <w:r w:rsidRPr="005E21D3">
              <w:rPr>
                <w:rFonts w:cs="Arial"/>
                <w:b w:val="0"/>
              </w:rPr>
              <w:t xml:space="preserve">ousing </w:t>
            </w:r>
            <w:r w:rsidR="00F315B8">
              <w:rPr>
                <w:rFonts w:cs="Arial"/>
                <w:b w:val="0"/>
              </w:rPr>
              <w:t>v</w:t>
            </w:r>
            <w:r w:rsidRPr="005E21D3">
              <w:rPr>
                <w:rFonts w:cs="Arial"/>
                <w:b w:val="0"/>
              </w:rPr>
              <w:t xml:space="preserve">acancy </w:t>
            </w:r>
            <w:r w:rsidR="00F315B8">
              <w:rPr>
                <w:rFonts w:cs="Arial"/>
                <w:b w:val="0"/>
              </w:rPr>
              <w:t>m</w:t>
            </w:r>
            <w:r w:rsidRPr="005E21D3">
              <w:rPr>
                <w:rFonts w:cs="Arial"/>
                <w:b w:val="0"/>
              </w:rPr>
              <w:t xml:space="preserve">anagement tool </w:t>
            </w:r>
          </w:p>
        </w:tc>
        <w:tc>
          <w:tcPr>
            <w:tcW w:w="6618" w:type="dxa"/>
          </w:tcPr>
          <w:p w14:paraId="530F76E2"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b/>
              </w:rPr>
            </w:pPr>
            <w:r w:rsidRPr="005E21D3">
              <w:rPr>
                <w:rFonts w:cs="Arial"/>
              </w:rPr>
              <w:t>A database that allows MSD frontline staff to search for vacant contracted places with providers that are available to address a client’s housing need.</w:t>
            </w:r>
          </w:p>
        </w:tc>
      </w:tr>
      <w:tr w:rsidR="005E21D3" w:rsidRPr="005E21D3" w14:paraId="1E7A0191" w14:textId="77777777" w:rsidTr="00F564CD">
        <w:trPr>
          <w:trHeight w:val="781"/>
          <w:jc w:val="center"/>
        </w:trPr>
        <w:tc>
          <w:tcPr>
            <w:cnfStyle w:val="001000000000" w:firstRow="0" w:lastRow="0" w:firstColumn="1" w:lastColumn="0" w:oddVBand="0" w:evenVBand="0" w:oddHBand="0" w:evenHBand="0" w:firstRowFirstColumn="0" w:firstRowLastColumn="0" w:lastRowFirstColumn="0" w:lastRowLastColumn="0"/>
            <w:tcW w:w="2454" w:type="dxa"/>
          </w:tcPr>
          <w:p w14:paraId="18413172" w14:textId="77777777" w:rsidR="005E21D3" w:rsidRPr="005E21D3" w:rsidRDefault="005E21D3" w:rsidP="005E21D3">
            <w:pPr>
              <w:spacing w:after="160" w:line="278" w:lineRule="auto"/>
              <w:rPr>
                <w:rFonts w:cs="Arial"/>
                <w:b w:val="0"/>
              </w:rPr>
            </w:pPr>
            <w:r w:rsidRPr="005E21D3">
              <w:rPr>
                <w:rFonts w:cs="Arial"/>
                <w:b w:val="0"/>
              </w:rPr>
              <w:t>Transitional housing</w:t>
            </w:r>
          </w:p>
        </w:tc>
        <w:tc>
          <w:tcPr>
            <w:tcW w:w="6618" w:type="dxa"/>
          </w:tcPr>
          <w:p w14:paraId="1812A614" w14:textId="77777777"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Transitional housing (including contracted motels) provides warm, dry, short-term accommodation for people and families who don’t have anywhere to live. This includes support services which are tailored to the household’s needs.</w:t>
            </w:r>
          </w:p>
        </w:tc>
      </w:tr>
      <w:tr w:rsidR="005E21D3" w:rsidRPr="005E21D3" w14:paraId="6805218A" w14:textId="77777777" w:rsidTr="00F564CD">
        <w:trPr>
          <w:trHeight w:val="781"/>
          <w:jc w:val="center"/>
        </w:trPr>
        <w:tc>
          <w:tcPr>
            <w:cnfStyle w:val="001000000000" w:firstRow="0" w:lastRow="0" w:firstColumn="1" w:lastColumn="0" w:oddVBand="0" w:evenVBand="0" w:oddHBand="0" w:evenHBand="0" w:firstRowFirstColumn="0" w:firstRowLastColumn="0" w:lastRowFirstColumn="0" w:lastRowLastColumn="0"/>
            <w:tcW w:w="2454" w:type="dxa"/>
          </w:tcPr>
          <w:p w14:paraId="499AE946" w14:textId="77777777" w:rsidR="005E21D3" w:rsidRPr="005E21D3" w:rsidRDefault="005E21D3" w:rsidP="005E21D3">
            <w:pPr>
              <w:spacing w:after="160" w:line="278" w:lineRule="auto"/>
              <w:rPr>
                <w:rFonts w:cs="Arial"/>
                <w:b w:val="0"/>
              </w:rPr>
            </w:pPr>
            <w:r w:rsidRPr="005E21D3">
              <w:rPr>
                <w:rFonts w:cs="Arial"/>
                <w:b w:val="0"/>
              </w:rPr>
              <w:t>Vacant contracted place</w:t>
            </w:r>
          </w:p>
        </w:tc>
        <w:tc>
          <w:tcPr>
            <w:tcW w:w="6618" w:type="dxa"/>
          </w:tcPr>
          <w:p w14:paraId="56F3F4DA" w14:textId="5777A149" w:rsidR="005E21D3" w:rsidRPr="005E21D3" w:rsidRDefault="005E21D3" w:rsidP="005E21D3">
            <w:pPr>
              <w:spacing w:after="160" w:line="278" w:lineRule="auto"/>
              <w:cnfStyle w:val="000000000000" w:firstRow="0" w:lastRow="0" w:firstColumn="0" w:lastColumn="0" w:oddVBand="0" w:evenVBand="0" w:oddHBand="0" w:evenHBand="0" w:firstRowFirstColumn="0" w:firstRowLastColumn="0" w:lastRowFirstColumn="0" w:lastRowLastColumn="0"/>
              <w:rPr>
                <w:rFonts w:cs="Arial"/>
              </w:rPr>
            </w:pPr>
            <w:r w:rsidRPr="005E21D3">
              <w:rPr>
                <w:rFonts w:cs="Arial"/>
              </w:rPr>
              <w:t xml:space="preserve">A vacant contracted place can be for an individual or </w:t>
            </w:r>
            <w:r w:rsidR="00F315B8">
              <w:rPr>
                <w:rFonts w:cs="Arial"/>
              </w:rPr>
              <w:t>whānau</w:t>
            </w:r>
            <w:r w:rsidRPr="005E21D3">
              <w:rPr>
                <w:rFonts w:cs="Arial"/>
              </w:rPr>
              <w:t xml:space="preserve">. A vacant contracted place for an individual will only require one bed, while a place for </w:t>
            </w:r>
            <w:r w:rsidR="00F315B8">
              <w:rPr>
                <w:rFonts w:cs="Arial"/>
              </w:rPr>
              <w:t>whānau</w:t>
            </w:r>
            <w:r w:rsidRPr="005E21D3">
              <w:rPr>
                <w:rFonts w:cs="Arial"/>
              </w:rPr>
              <w:t xml:space="preserve"> will obviously need more than one bed. </w:t>
            </w:r>
          </w:p>
        </w:tc>
      </w:tr>
    </w:tbl>
    <w:p w14:paraId="4FF533BA" w14:textId="094F76C3" w:rsidR="005E21D3" w:rsidRDefault="005E21D3" w:rsidP="005E21D3">
      <w:pPr>
        <w:spacing w:after="160" w:line="278" w:lineRule="auto"/>
        <w:rPr>
          <w:rFonts w:cs="Arial"/>
        </w:rPr>
      </w:pPr>
    </w:p>
    <w:p w14:paraId="488BDA46" w14:textId="77777777" w:rsidR="005E21D3" w:rsidRDefault="005E21D3">
      <w:pPr>
        <w:spacing w:after="160" w:line="278" w:lineRule="auto"/>
        <w:rPr>
          <w:rFonts w:cs="Arial"/>
        </w:rPr>
      </w:pPr>
      <w:r>
        <w:rPr>
          <w:rFonts w:cs="Arial"/>
        </w:rPr>
        <w:br w:type="page"/>
      </w:r>
    </w:p>
    <w:p w14:paraId="5D83187E" w14:textId="399C25F6" w:rsidR="005E21D3" w:rsidRDefault="005E21D3" w:rsidP="005E21D3">
      <w:pPr>
        <w:pStyle w:val="HUDHeading1"/>
      </w:pPr>
      <w:bookmarkStart w:id="79" w:name="AP2"/>
      <w:bookmarkStart w:id="80" w:name="_Toc208995965"/>
      <w:bookmarkEnd w:id="79"/>
      <w:r>
        <w:lastRenderedPageBreak/>
        <w:t>Appendix 2: Content requirements for housing agreements</w:t>
      </w:r>
      <w:bookmarkEnd w:id="80"/>
    </w:p>
    <w:p w14:paraId="303160E5" w14:textId="2373628F" w:rsidR="005E21D3" w:rsidRDefault="005E21D3" w:rsidP="005E21D3">
      <w:pPr>
        <w:pStyle w:val="HUDBody"/>
      </w:pPr>
      <w:r w:rsidRPr="005E21D3">
        <w:t xml:space="preserve">Each housing agreement must, at a minimum, cover the following matters </w:t>
      </w:r>
      <w:r w:rsidRPr="003639BD">
        <w:t>in a manner consistent with</w:t>
      </w:r>
      <w:r w:rsidRPr="005E21D3">
        <w:t xml:space="preserve"> the provider’s transitional housing services agreement (or transitional housing support services agreement) with </w:t>
      </w:r>
      <w:r w:rsidR="000F54D0">
        <w:t>us</w:t>
      </w:r>
      <w:r>
        <w:t>.</w:t>
      </w:r>
    </w:p>
    <w:p w14:paraId="1B01A607" w14:textId="7513B24A" w:rsidR="005E21D3" w:rsidRPr="005E21D3" w:rsidRDefault="005E21D3" w:rsidP="005E21D3">
      <w:pPr>
        <w:pStyle w:val="HUDHeading2"/>
        <w:rPr>
          <w:sz w:val="24"/>
          <w:szCs w:val="24"/>
        </w:rPr>
      </w:pPr>
      <w:bookmarkStart w:id="81" w:name="_Toc208995966"/>
      <w:r>
        <w:t>General</w:t>
      </w:r>
      <w:bookmarkEnd w:id="81"/>
    </w:p>
    <w:p w14:paraId="18505A65" w14:textId="1C98D727" w:rsidR="005E21D3" w:rsidRDefault="000F54D0" w:rsidP="005E21D3">
      <w:pPr>
        <w:pStyle w:val="HUDBullets"/>
      </w:pPr>
      <w:r>
        <w:t>F</w:t>
      </w:r>
      <w:r w:rsidR="005E21D3">
        <w:t>ull name and contact details (including a mobile telephone number and email address (if any)) of the provider and the household.</w:t>
      </w:r>
    </w:p>
    <w:p w14:paraId="5DA892CE" w14:textId="65373A00" w:rsidR="005E21D3" w:rsidRDefault="000F54D0" w:rsidP="005E21D3">
      <w:pPr>
        <w:pStyle w:val="HUDBullets"/>
      </w:pPr>
      <w:r>
        <w:t>T</w:t>
      </w:r>
      <w:r w:rsidR="005E21D3">
        <w:t xml:space="preserve">he </w:t>
      </w:r>
      <w:r>
        <w:t>h</w:t>
      </w:r>
      <w:r w:rsidR="005E21D3">
        <w:t>ousing</w:t>
      </w:r>
      <w:r>
        <w:t xml:space="preserve"> address</w:t>
      </w:r>
      <w:r w:rsidR="005E21D3">
        <w:t>.</w:t>
      </w:r>
    </w:p>
    <w:p w14:paraId="2714D8EE" w14:textId="12B8F7C1" w:rsidR="005E21D3" w:rsidRDefault="000F54D0" w:rsidP="005E21D3">
      <w:pPr>
        <w:pStyle w:val="HUDBullets"/>
      </w:pPr>
      <w:r>
        <w:t>D</w:t>
      </w:r>
      <w:r w:rsidR="005E21D3">
        <w:t>ate of the housing agreement, and if it is different, the date the household started using the housing.</w:t>
      </w:r>
    </w:p>
    <w:p w14:paraId="65D2F21C" w14:textId="5D057437" w:rsidR="005E21D3" w:rsidRDefault="000F54D0" w:rsidP="005E21D3">
      <w:pPr>
        <w:pStyle w:val="HUDBullets"/>
      </w:pPr>
      <w:r>
        <w:t>P</w:t>
      </w:r>
      <w:r w:rsidR="005E21D3">
        <w:t>rovider’s address for service.</w:t>
      </w:r>
    </w:p>
    <w:p w14:paraId="689EF93B" w14:textId="3548384D" w:rsidR="005E21D3" w:rsidRDefault="000F54D0" w:rsidP="005E21D3">
      <w:pPr>
        <w:pStyle w:val="HUDBullets"/>
      </w:pPr>
      <w:r>
        <w:t>H</w:t>
      </w:r>
      <w:r w:rsidR="005E21D3">
        <w:t>ousehold’s address for service.</w:t>
      </w:r>
    </w:p>
    <w:p w14:paraId="35CC3D34" w14:textId="2EA49F0A" w:rsidR="005E21D3" w:rsidRDefault="000F54D0" w:rsidP="005E21D3">
      <w:pPr>
        <w:pStyle w:val="HUDBullets"/>
      </w:pPr>
      <w:r>
        <w:t>D</w:t>
      </w:r>
      <w:r w:rsidR="005E21D3">
        <w:t>ate on which the household’s stay will end in the housing unless the housing agreement is renewed (being the later of 12 weeks from the date of the housing agreement or 12 weeks from the date of the last renewal) or an early exit occurs.</w:t>
      </w:r>
    </w:p>
    <w:p w14:paraId="7754B586" w14:textId="7C761DE4" w:rsidR="005E21D3" w:rsidRDefault="000F54D0" w:rsidP="005E21D3">
      <w:pPr>
        <w:pStyle w:val="HUDBullets"/>
      </w:pPr>
      <w:r>
        <w:t>M</w:t>
      </w:r>
      <w:r w:rsidR="005E21D3">
        <w:t>aximum number of occupants.</w:t>
      </w:r>
    </w:p>
    <w:p w14:paraId="07C4DA62" w14:textId="5A65BD2C" w:rsidR="005E21D3" w:rsidRDefault="000F54D0" w:rsidP="005E21D3">
      <w:pPr>
        <w:pStyle w:val="HUDBullets"/>
      </w:pPr>
      <w:r>
        <w:t>W</w:t>
      </w:r>
      <w:r w:rsidR="005E21D3">
        <w:t>hether any signatory to the housing agreement is under the age of 18.</w:t>
      </w:r>
    </w:p>
    <w:p w14:paraId="25FA8917" w14:textId="0C1718E1" w:rsidR="005E21D3" w:rsidRDefault="000F54D0" w:rsidP="005E21D3">
      <w:pPr>
        <w:pStyle w:val="HUDBullets"/>
      </w:pPr>
      <w:r>
        <w:t>H</w:t>
      </w:r>
      <w:r w:rsidR="005E21D3">
        <w:t>ow much the household will contribute per week to the cost of the housing, the timing and frequency of the payment, and whether it is via a household payment into the provider’s bank account or via the redirection of a Work and Income benefit from MSD.</w:t>
      </w:r>
    </w:p>
    <w:p w14:paraId="176A06A2" w14:textId="49BE7486" w:rsidR="005E21D3" w:rsidRDefault="000F54D0" w:rsidP="005E21D3">
      <w:pPr>
        <w:pStyle w:val="HUDBullets"/>
      </w:pPr>
      <w:r>
        <w:t>P</w:t>
      </w:r>
      <w:r w:rsidR="005E21D3">
        <w:t>rovider and household’s bank account details (if relevant).</w:t>
      </w:r>
    </w:p>
    <w:p w14:paraId="598D2F12" w14:textId="2A891A3D" w:rsidR="005E21D3" w:rsidRDefault="000F54D0" w:rsidP="005E21D3">
      <w:pPr>
        <w:pStyle w:val="HUDBullets"/>
      </w:pPr>
      <w:r>
        <w:t>A</w:t>
      </w:r>
      <w:r w:rsidR="005E21D3">
        <w:t xml:space="preserve"> note that the household’s contribution may change if the household has a change in circumstances.</w:t>
      </w:r>
    </w:p>
    <w:p w14:paraId="1853A48D" w14:textId="3686974A" w:rsidR="005E21D3" w:rsidRDefault="000F54D0" w:rsidP="005E21D3">
      <w:pPr>
        <w:pStyle w:val="HUDBullets"/>
      </w:pPr>
      <w:r>
        <w:t>T</w:t>
      </w:r>
      <w:r w:rsidR="005E21D3">
        <w:t>he household’s responsibility (if any) for utilit</w:t>
      </w:r>
      <w:r>
        <w:t>y</w:t>
      </w:r>
      <w:r w:rsidR="005E21D3">
        <w:t xml:space="preserve"> charges (electricity, gas, water, telephone, and internet etc).</w:t>
      </w:r>
    </w:p>
    <w:p w14:paraId="5BDC74FC" w14:textId="6466B17F" w:rsidR="005E21D3" w:rsidRDefault="000F54D0" w:rsidP="005E21D3">
      <w:pPr>
        <w:pStyle w:val="HUDBullets"/>
      </w:pPr>
      <w:r>
        <w:t>R</w:t>
      </w:r>
      <w:r w:rsidR="005E21D3">
        <w:t>eference to the relevant security deposit for the housing, which must either be in the form of a pre-approved security deposit grant by MSD or paid into the provider’s bank account, to be held on trust and only utilised if damage is caused during their stay.</w:t>
      </w:r>
    </w:p>
    <w:p w14:paraId="3380D77E" w14:textId="2E7D173F" w:rsidR="005E21D3" w:rsidRDefault="000F54D0" w:rsidP="005E21D3">
      <w:pPr>
        <w:pStyle w:val="HUDBullets"/>
      </w:pPr>
      <w:r>
        <w:t>A</w:t>
      </w:r>
      <w:r w:rsidR="005E21D3">
        <w:t xml:space="preserve"> list of all of the chattels in the </w:t>
      </w:r>
      <w:r>
        <w:t>h</w:t>
      </w:r>
      <w:r w:rsidR="005E21D3">
        <w:t>ousing (for example, furniture, whiteware, appliances, kitchen utensils, cookware and lightbulbs).</w:t>
      </w:r>
    </w:p>
    <w:p w14:paraId="70D7BE7C" w14:textId="4310F205" w:rsidR="005E21D3" w:rsidRDefault="000F54D0" w:rsidP="005E21D3">
      <w:pPr>
        <w:pStyle w:val="HUDBullets"/>
      </w:pPr>
      <w:r>
        <w:lastRenderedPageBreak/>
        <w:t>P</w:t>
      </w:r>
      <w:r w:rsidR="005E21D3">
        <w:t xml:space="preserve">hotos, agreed by the </w:t>
      </w:r>
      <w:r>
        <w:t>h</w:t>
      </w:r>
      <w:r w:rsidR="005E21D3">
        <w:t>ousehold, of the condition of the housing at the start of the household’s stay.</w:t>
      </w:r>
    </w:p>
    <w:p w14:paraId="1FB3805A" w14:textId="39E3CEAF" w:rsidR="005E21D3" w:rsidRDefault="000F54D0" w:rsidP="005E21D3">
      <w:pPr>
        <w:pStyle w:val="HUDBullets"/>
      </w:pPr>
      <w:r>
        <w:t>A</w:t>
      </w:r>
      <w:r w:rsidR="005E21D3">
        <w:t xml:space="preserve"> statement to require all parties to take reasonable steps to reduce the damage or harm caused in the event of a breach of the </w:t>
      </w:r>
      <w:r>
        <w:t>h</w:t>
      </w:r>
      <w:r w:rsidR="005E21D3">
        <w:t xml:space="preserve">ousing </w:t>
      </w:r>
      <w:r>
        <w:t>a</w:t>
      </w:r>
      <w:r w:rsidR="005E21D3">
        <w:t xml:space="preserve">greement by the other party. </w:t>
      </w:r>
    </w:p>
    <w:p w14:paraId="444FC65A" w14:textId="737CD75A" w:rsidR="005E21D3" w:rsidRDefault="000F54D0" w:rsidP="005E21D3">
      <w:pPr>
        <w:pStyle w:val="HUDBullets"/>
      </w:pPr>
      <w:r>
        <w:t>A</w:t>
      </w:r>
      <w:r w:rsidR="005E21D3">
        <w:t xml:space="preserve"> statement that any changes are to be recorded in writing and signed by the provider and the household.</w:t>
      </w:r>
    </w:p>
    <w:p w14:paraId="388D61B5" w14:textId="175E985A" w:rsidR="005E21D3" w:rsidRPr="005E21D3" w:rsidRDefault="000F54D0" w:rsidP="005E21D3">
      <w:pPr>
        <w:pStyle w:val="HUDBullets"/>
      </w:pPr>
      <w:r>
        <w:t>A</w:t>
      </w:r>
      <w:r w:rsidR="005E21D3">
        <w:t xml:space="preserve"> statement that the provider (and their staff and contractors) and the household will treat each other with respect.</w:t>
      </w:r>
    </w:p>
    <w:p w14:paraId="0C20CF35" w14:textId="78127E73" w:rsidR="005E21D3" w:rsidRDefault="005E21D3" w:rsidP="005E21D3">
      <w:pPr>
        <w:pStyle w:val="HUDHeading2"/>
      </w:pPr>
      <w:bookmarkStart w:id="82" w:name="_Toc208995967"/>
      <w:r>
        <w:t>Household responsibilities</w:t>
      </w:r>
      <w:bookmarkEnd w:id="82"/>
    </w:p>
    <w:p w14:paraId="1269C060" w14:textId="23076387" w:rsidR="005E21D3" w:rsidRDefault="000F54D0" w:rsidP="003639BD">
      <w:pPr>
        <w:pStyle w:val="HUDBody"/>
      </w:pPr>
      <w:r>
        <w:t>D</w:t>
      </w:r>
      <w:r w:rsidR="005E21D3">
        <w:t>etails of the household’s responsibilities</w:t>
      </w:r>
      <w:r>
        <w:t xml:space="preserve"> to</w:t>
      </w:r>
      <w:r w:rsidR="005E21D3">
        <w:t>:</w:t>
      </w:r>
    </w:p>
    <w:p w14:paraId="12BF15EC" w14:textId="6D81F9AC" w:rsidR="005E21D3" w:rsidRDefault="005E21D3" w:rsidP="003639BD">
      <w:pPr>
        <w:pStyle w:val="HUDBullets"/>
      </w:pPr>
      <w:r>
        <w:t>pay the household contribution on time</w:t>
      </w:r>
    </w:p>
    <w:p w14:paraId="74A632A0" w14:textId="2E542E33" w:rsidR="005E21D3" w:rsidRDefault="005E21D3" w:rsidP="003639BD">
      <w:pPr>
        <w:pStyle w:val="HUDBullets"/>
      </w:pPr>
      <w:r>
        <w:t>keep the housing reasonably clean and reasonably tidy, and in a condition that does not create a health and safety hazard</w:t>
      </w:r>
    </w:p>
    <w:p w14:paraId="59A86DDF" w14:textId="54D8C59D" w:rsidR="005E21D3" w:rsidRDefault="005E21D3" w:rsidP="003639BD">
      <w:pPr>
        <w:pStyle w:val="HUDBullets"/>
      </w:pPr>
      <w:r>
        <w:t>not interfere with the reasonable peace, comfort or privacy of neighbours</w:t>
      </w:r>
    </w:p>
    <w:p w14:paraId="63F7E4E7" w14:textId="1B21EB95" w:rsidR="005E21D3" w:rsidRDefault="005E21D3" w:rsidP="003639BD">
      <w:pPr>
        <w:pStyle w:val="HUDBullets"/>
      </w:pPr>
      <w:r>
        <w:t>only use the housing for residential and lawful purposes</w:t>
      </w:r>
    </w:p>
    <w:p w14:paraId="30094624" w14:textId="7F577AE8" w:rsidR="005E21D3" w:rsidRDefault="005E21D3" w:rsidP="003639BD">
      <w:pPr>
        <w:pStyle w:val="HUDBullets"/>
      </w:pPr>
      <w:r>
        <w:t>pay all bills for utilities (for example, electricity) on time</w:t>
      </w:r>
    </w:p>
    <w:p w14:paraId="610C9889" w14:textId="5A1316EF" w:rsidR="005E21D3" w:rsidRDefault="005E21D3" w:rsidP="003639BD">
      <w:pPr>
        <w:pStyle w:val="HUDBullets"/>
      </w:pPr>
      <w:r>
        <w:t xml:space="preserve">not damage or permit damage to the housing and inform the provider of any damage </w:t>
      </w:r>
      <w:r w:rsidR="000F54D0">
        <w:t>–</w:t>
      </w:r>
      <w:r>
        <w:t>- and similarly, for contamination (for example, from methamphetamine)</w:t>
      </w:r>
    </w:p>
    <w:p w14:paraId="5A00B1EB" w14:textId="2963A405" w:rsidR="005E21D3" w:rsidRDefault="005E21D3" w:rsidP="003639BD">
      <w:pPr>
        <w:pStyle w:val="HUDBullets"/>
      </w:pPr>
      <w:r>
        <w:t>pay to repair any damage caused by the household or any visitor to the household, up to the value of the relevant security deposit</w:t>
      </w:r>
    </w:p>
    <w:p w14:paraId="65A83859" w14:textId="6E981B72" w:rsidR="005E21D3" w:rsidRDefault="005E21D3" w:rsidP="003639BD">
      <w:pPr>
        <w:pStyle w:val="HUDBullets"/>
      </w:pPr>
      <w:r>
        <w:t>not alter the housing in any way without the provider’s consent – noting that permission may be requested for changes to be made to ensure the housing is physically accessible and physically safe</w:t>
      </w:r>
    </w:p>
    <w:p w14:paraId="22FEC85E" w14:textId="5C61D721" w:rsidR="005E21D3" w:rsidRDefault="005E21D3" w:rsidP="003639BD">
      <w:pPr>
        <w:pStyle w:val="HUDBullets"/>
      </w:pPr>
      <w:r>
        <w:t>observe the programme and site-specific rules notified in writing by the provider</w:t>
      </w:r>
    </w:p>
    <w:p w14:paraId="297837F8" w14:textId="42DC1E7B" w:rsidR="005E21D3" w:rsidRDefault="005E21D3" w:rsidP="003639BD">
      <w:pPr>
        <w:pStyle w:val="HUDBullets"/>
      </w:pPr>
      <w:r>
        <w:t>be willing to commit to looking for alternative adequate accommodation and demonstrate that they are taking reasonable steps to find accommodation, as appropriate in their circumstances (in accordance with housing agreement)</w:t>
      </w:r>
    </w:p>
    <w:p w14:paraId="3A8F13F2" w14:textId="7702FBA6" w:rsidR="005E21D3" w:rsidRDefault="005E21D3" w:rsidP="003639BD">
      <w:pPr>
        <w:pStyle w:val="HUDBullets"/>
      </w:pPr>
      <w:r>
        <w:t>comply with valid provider notices regarding entry to the housing to undertake property inspections, contaminant testing</w:t>
      </w:r>
      <w:r w:rsidR="000F54D0">
        <w:t xml:space="preserve"> or </w:t>
      </w:r>
      <w:r>
        <w:t xml:space="preserve">sampling, maintenance or repairs, and to prepare for compliance with the </w:t>
      </w:r>
      <w:r w:rsidR="000F54D0">
        <w:t>h</w:t>
      </w:r>
      <w:r>
        <w:t xml:space="preserve">ealthy </w:t>
      </w:r>
      <w:r w:rsidR="000F54D0">
        <w:t>h</w:t>
      </w:r>
      <w:r>
        <w:t xml:space="preserve">omes </w:t>
      </w:r>
      <w:r w:rsidR="000F54D0">
        <w:t>s</w:t>
      </w:r>
      <w:r>
        <w:t>tandards and allow emergency work to occur without notice</w:t>
      </w:r>
    </w:p>
    <w:p w14:paraId="5D4C12C9" w14:textId="487D0F82" w:rsidR="005E21D3" w:rsidRDefault="005E21D3" w:rsidP="003639BD">
      <w:pPr>
        <w:pStyle w:val="HUDBullets"/>
      </w:pPr>
      <w:r>
        <w:lastRenderedPageBreak/>
        <w:t>allow motel operator staff to enter (if the housing is a motel) and lightly clean your unit (and provide replacement towels and linen) in line with their obligations and schedule</w:t>
      </w:r>
    </w:p>
    <w:p w14:paraId="49D673C2" w14:textId="00C8BFFA" w:rsidR="005E21D3" w:rsidRDefault="005E21D3" w:rsidP="003639BD">
      <w:pPr>
        <w:pStyle w:val="HUDBullets"/>
      </w:pPr>
      <w:r>
        <w:t>leave the housing clean and tidy and clear the property of all household rubbish and possessions at the end of the stay</w:t>
      </w:r>
    </w:p>
    <w:p w14:paraId="1EF1B4D4" w14:textId="43288308" w:rsidR="005E21D3" w:rsidRDefault="005E21D3" w:rsidP="003639BD">
      <w:pPr>
        <w:pStyle w:val="HUDBullets"/>
      </w:pPr>
      <w:r>
        <w:t xml:space="preserve">return the keys to the provider </w:t>
      </w:r>
      <w:r w:rsidR="000F54D0">
        <w:t xml:space="preserve">at the end of stay </w:t>
      </w:r>
      <w:r>
        <w:t>and leave any chattels supplied by the provider</w:t>
      </w:r>
    </w:p>
    <w:p w14:paraId="48DFF2D2" w14:textId="0437A18A" w:rsidR="005E21D3" w:rsidRDefault="005E21D3" w:rsidP="003639BD">
      <w:pPr>
        <w:pStyle w:val="HUDBullets"/>
      </w:pPr>
      <w:r>
        <w:t>act in accordance with any mediated outcome or decision of the Independent Dispute Resolution Service</w:t>
      </w:r>
    </w:p>
    <w:p w14:paraId="61191053" w14:textId="3A64D22E" w:rsidR="005E21D3" w:rsidRDefault="005E21D3" w:rsidP="003639BD">
      <w:pPr>
        <w:pStyle w:val="HUDBullets"/>
      </w:pPr>
      <w:r>
        <w:t>not seek to assign (or transfer) the household’s right to occupy to anyone else, or to add members to the household without the provider’s consent.</w:t>
      </w:r>
    </w:p>
    <w:p w14:paraId="6673005E" w14:textId="7A36BA39" w:rsidR="005E21D3" w:rsidRDefault="005E21D3" w:rsidP="005E21D3">
      <w:pPr>
        <w:pStyle w:val="HUDHeading2"/>
      </w:pPr>
      <w:bookmarkStart w:id="83" w:name="_Toc208995968"/>
      <w:r>
        <w:t>Provider responsibilities</w:t>
      </w:r>
      <w:bookmarkEnd w:id="83"/>
    </w:p>
    <w:p w14:paraId="532C8B87" w14:textId="5C8B52D4" w:rsidR="005E21D3" w:rsidRDefault="005E21D3" w:rsidP="003639BD">
      <w:pPr>
        <w:pStyle w:val="HUDBody"/>
      </w:pPr>
      <w:r>
        <w:t>Details of the provider’s responsibilities</w:t>
      </w:r>
      <w:r w:rsidR="00686C37">
        <w:t>.</w:t>
      </w:r>
    </w:p>
    <w:p w14:paraId="5954F5DF" w14:textId="413142EE" w:rsidR="005E21D3" w:rsidRDefault="000F54D0" w:rsidP="003639BD">
      <w:pPr>
        <w:pStyle w:val="HUDBody"/>
      </w:pPr>
      <w:r>
        <w:t>I</w:t>
      </w:r>
      <w:r w:rsidR="005E21D3">
        <w:t xml:space="preserve">f the housing is a motel, the housing </w:t>
      </w:r>
      <w:r w:rsidR="00686C37">
        <w:t>should</w:t>
      </w:r>
      <w:r w:rsidR="005E21D3">
        <w:t>:</w:t>
      </w:r>
    </w:p>
    <w:p w14:paraId="7972BF69" w14:textId="6EF886DE" w:rsidR="005E21D3" w:rsidRDefault="00686C37" w:rsidP="003639BD">
      <w:pPr>
        <w:pStyle w:val="HUDBullets"/>
      </w:pPr>
      <w:r>
        <w:t xml:space="preserve">be </w:t>
      </w:r>
      <w:r w:rsidR="005E21D3">
        <w:t>warm, with heating available at a minimum in the main living area</w:t>
      </w:r>
    </w:p>
    <w:p w14:paraId="2BBA083B" w14:textId="19E18BB7" w:rsidR="005E21D3" w:rsidRDefault="005E21D3" w:rsidP="003639BD">
      <w:pPr>
        <w:pStyle w:val="HUDBullets"/>
      </w:pPr>
      <w:r>
        <w:t>not have an open fire or unflued combustion heater as a heating source</w:t>
      </w:r>
    </w:p>
    <w:p w14:paraId="34E95E49" w14:textId="7CB9AA7E" w:rsidR="005E21D3" w:rsidRDefault="00686C37" w:rsidP="003639BD">
      <w:pPr>
        <w:pStyle w:val="HUDBullets"/>
      </w:pPr>
      <w:r>
        <w:t>have</w:t>
      </w:r>
      <w:r w:rsidR="005E21D3">
        <w:t xml:space="preserve"> draught-stopping in place to block any draughts</w:t>
      </w:r>
    </w:p>
    <w:p w14:paraId="393FEEAF" w14:textId="79CE9AC2" w:rsidR="005E21D3" w:rsidRDefault="00686C37" w:rsidP="003639BD">
      <w:pPr>
        <w:pStyle w:val="HUDBullets"/>
      </w:pPr>
      <w:r>
        <w:t xml:space="preserve">be </w:t>
      </w:r>
      <w:r w:rsidR="005E21D3">
        <w:t>clean, tidy and dry, with no evidence of mould at the start of a household’s stay</w:t>
      </w:r>
    </w:p>
    <w:p w14:paraId="5952C085" w14:textId="0613EF67" w:rsidR="005E21D3" w:rsidRDefault="00686C37" w:rsidP="003639BD">
      <w:pPr>
        <w:pStyle w:val="HUDBullets"/>
      </w:pPr>
      <w:r>
        <w:t xml:space="preserve">be </w:t>
      </w:r>
      <w:r w:rsidR="005E21D3">
        <w:t>pest free, with measures in place to deter any external infestation</w:t>
      </w:r>
    </w:p>
    <w:p w14:paraId="1228CD9E" w14:textId="70B81669" w:rsidR="005E21D3" w:rsidRDefault="00686C37" w:rsidP="003639BD">
      <w:pPr>
        <w:pStyle w:val="HUDBullets"/>
      </w:pPr>
      <w:r>
        <w:t xml:space="preserve">have </w:t>
      </w:r>
      <w:r w:rsidR="005E21D3">
        <w:t xml:space="preserve">all relevant consents and </w:t>
      </w:r>
      <w:r>
        <w:t xml:space="preserve">be </w:t>
      </w:r>
      <w:r w:rsidR="005E21D3">
        <w:t>compliant with all relevant laws.</w:t>
      </w:r>
    </w:p>
    <w:p w14:paraId="4264E3FD" w14:textId="6140B34D" w:rsidR="005E21D3" w:rsidRDefault="000F54D0" w:rsidP="003639BD">
      <w:pPr>
        <w:pStyle w:val="HUDBody"/>
      </w:pPr>
      <w:r w:rsidRPr="00117F5B">
        <w:t>P</w:t>
      </w:r>
      <w:r w:rsidR="005E21D3" w:rsidRPr="00117F5B">
        <w:t>rovide access to:</w:t>
      </w:r>
    </w:p>
    <w:p w14:paraId="4979C13B" w14:textId="77777777" w:rsidR="005E21D3" w:rsidRDefault="005E21D3" w:rsidP="003639BD">
      <w:pPr>
        <w:pStyle w:val="HUDBullets"/>
      </w:pPr>
      <w:r>
        <w:t>safe drinking water, sanitation, washing facilities and refuse (or rubbish) disposal</w:t>
      </w:r>
    </w:p>
    <w:p w14:paraId="1ED844AB" w14:textId="77777777" w:rsidR="005E21D3" w:rsidRDefault="005E21D3" w:rsidP="003639BD">
      <w:pPr>
        <w:pStyle w:val="HUDBullets"/>
      </w:pPr>
      <w:r>
        <w:t>lighting, cooking facilities and if not on site, laundry facilities that are nearby</w:t>
      </w:r>
    </w:p>
    <w:p w14:paraId="3D3AC859" w14:textId="0A2B863D" w:rsidR="005E21D3" w:rsidRDefault="005E21D3" w:rsidP="003639BD">
      <w:pPr>
        <w:pStyle w:val="HUDBullets"/>
      </w:pPr>
      <w:r>
        <w:t>sufficient furniture, whiteware, kitchen utensils, cookware, linen and towels (where needed) for temporary residential use</w:t>
      </w:r>
    </w:p>
    <w:p w14:paraId="1324E164" w14:textId="21B41B91" w:rsidR="005E21D3" w:rsidRDefault="005E21D3" w:rsidP="005E21D3">
      <w:pPr>
        <w:pStyle w:val="HUDBullets"/>
      </w:pPr>
      <w:r>
        <w:t>and maintain the housing in a good state of repair having regard to its age and character</w:t>
      </w:r>
    </w:p>
    <w:p w14:paraId="08E77D38" w14:textId="26970EF6" w:rsidR="005E21D3" w:rsidRDefault="005E21D3" w:rsidP="005E21D3">
      <w:pPr>
        <w:pStyle w:val="HUDBullets"/>
      </w:pPr>
      <w:r>
        <w:t>a 24/7 notification point which allows households to notify of any damage to or a need for repairs</w:t>
      </w:r>
    </w:p>
    <w:p w14:paraId="33BB7030" w14:textId="3A8C299C" w:rsidR="005E21D3" w:rsidRDefault="000C710E" w:rsidP="005E21D3">
      <w:pPr>
        <w:pStyle w:val="HUDBullets"/>
      </w:pPr>
      <w:r>
        <w:t xml:space="preserve">repairs for </w:t>
      </w:r>
      <w:r w:rsidR="005E21D3">
        <w:t xml:space="preserve">serious damage and issues that affect the safety and security of the household with urgency and in all other cases respond to the household as </w:t>
      </w:r>
      <w:r w:rsidR="005E21D3">
        <w:lastRenderedPageBreak/>
        <w:t>soon as reasonably practicable but within two business days, with a plan and remediation response time</w:t>
      </w:r>
    </w:p>
    <w:p w14:paraId="38CBA6AC" w14:textId="5E247E4C" w:rsidR="005E21D3" w:rsidRDefault="005E21D3" w:rsidP="005E21D3">
      <w:pPr>
        <w:pStyle w:val="HUDBullets"/>
      </w:pPr>
      <w:r>
        <w:t>suitable audible alarms activated by smoke in the housing that either meet or exceed the substantive requirements of the Residential Tenancies (Smoke Alarms and Insulation) Regulations 2016 and be responsible for the replacement of batteries</w:t>
      </w:r>
    </w:p>
    <w:p w14:paraId="77C5E807" w14:textId="6B844EFB" w:rsidR="005E21D3" w:rsidRDefault="005E21D3" w:rsidP="005E21D3">
      <w:pPr>
        <w:pStyle w:val="HUDBullets"/>
      </w:pPr>
      <w:r>
        <w:t>decontamination for methamphetamine residue where levels exceed 15ug/100cm2 and otherwise comply with regulations regarding the management of methamphetamine contamination in rental housing</w:t>
      </w:r>
    </w:p>
    <w:p w14:paraId="7E6342AF" w14:textId="627EB851" w:rsidR="005E21D3" w:rsidRDefault="005E21D3" w:rsidP="005E21D3">
      <w:pPr>
        <w:pStyle w:val="HUDBullets"/>
      </w:pPr>
      <w:r>
        <w:t xml:space="preserve">temporary changes to ensure the physical accessibility and safety of the </w:t>
      </w:r>
      <w:r w:rsidR="000C710E">
        <w:t>h</w:t>
      </w:r>
      <w:r>
        <w:t xml:space="preserve">ousing and the </w:t>
      </w:r>
      <w:r w:rsidR="000C710E">
        <w:t>h</w:t>
      </w:r>
      <w:r>
        <w:t xml:space="preserve">ousehold in line with the provider’s obligations to </w:t>
      </w:r>
      <w:r w:rsidR="00686C37">
        <w:t xml:space="preserve">Te Tūāpapa Kura </w:t>
      </w:r>
      <w:r>
        <w:t>under its services agreement</w:t>
      </w:r>
    </w:p>
    <w:p w14:paraId="52A8B064" w14:textId="56E11733" w:rsidR="005E21D3" w:rsidRDefault="005E21D3" w:rsidP="005E21D3">
      <w:pPr>
        <w:pStyle w:val="HUDBullets"/>
      </w:pPr>
      <w:r>
        <w:t>any provider-specific transitional housing programme or housing site-specific rules (including body corporate rules) the household must comply with during their stay and a statement that these and fire evacuation procedures will be display</w:t>
      </w:r>
      <w:r w:rsidR="00F315B8">
        <w:t>ed</w:t>
      </w:r>
      <w:r>
        <w:t xml:space="preserve"> in the housing </w:t>
      </w:r>
    </w:p>
    <w:p w14:paraId="2C83D6BA" w14:textId="0CED9AAF" w:rsidR="005E21D3" w:rsidRDefault="002F50E8" w:rsidP="005E21D3">
      <w:pPr>
        <w:pStyle w:val="HUDBullets"/>
      </w:pPr>
      <w:r>
        <w:t>information about</w:t>
      </w:r>
      <w:r w:rsidR="005E21D3">
        <w:t xml:space="preserve"> how renewals and terminations will occur</w:t>
      </w:r>
    </w:p>
    <w:p w14:paraId="1587DB30" w14:textId="0EA44C4B" w:rsidR="002F50E8" w:rsidRDefault="002F50E8" w:rsidP="003639BD">
      <w:pPr>
        <w:pStyle w:val="HUDBullets"/>
        <w:numPr>
          <w:ilvl w:val="0"/>
          <w:numId w:val="0"/>
        </w:numPr>
      </w:pPr>
      <w:r>
        <w:t>Providers must:</w:t>
      </w:r>
    </w:p>
    <w:p w14:paraId="69C89E61" w14:textId="7461E874" w:rsidR="002F50E8" w:rsidRDefault="002F50E8" w:rsidP="002F50E8">
      <w:pPr>
        <w:pStyle w:val="HUDBullets"/>
      </w:pPr>
      <w:r>
        <w:t>not undertake property inspections more frequently than once in any two-week period, with the provider moving to longer periods between inspections on notice to the household</w:t>
      </w:r>
    </w:p>
    <w:p w14:paraId="5070CE2C" w14:textId="5A0ACBC3" w:rsidR="002F50E8" w:rsidRDefault="002F50E8" w:rsidP="002F50E8">
      <w:pPr>
        <w:pStyle w:val="HUDBullets"/>
      </w:pPr>
      <w:r>
        <w:t>not give written notice for contaminant testing or sampling more than 14 days before entry to the housing is intended</w:t>
      </w:r>
    </w:p>
    <w:p w14:paraId="12A24D25" w14:textId="77777777" w:rsidR="002F50E8" w:rsidRDefault="002F50E8" w:rsidP="002F50E8">
      <w:pPr>
        <w:pStyle w:val="HUDBullets"/>
      </w:pPr>
      <w:r>
        <w:t>take all reasonable steps to ensure that none of the provider’s other clients causes or permits any interference with the reasonable peace, comfort, or privacy of the household.</w:t>
      </w:r>
    </w:p>
    <w:p w14:paraId="7EEC0BA3" w14:textId="16888F50" w:rsidR="002F50E8" w:rsidRDefault="002F50E8" w:rsidP="002F50E8">
      <w:pPr>
        <w:pStyle w:val="HUDBullets"/>
      </w:pPr>
      <w:r>
        <w:t>only conduct property inspections, contaminant testing or sampling and any work to conduct maintenance or repair damage or for the purposes of complying with the healthy homes standards, between 8am and 7pm, having given two days prior written notice to the household. Emergency repair work may occur outside of these days and without notice</w:t>
      </w:r>
    </w:p>
    <w:p w14:paraId="58D174B6" w14:textId="2B1195E1" w:rsidR="005E21D3" w:rsidRDefault="005E21D3" w:rsidP="005E21D3">
      <w:pPr>
        <w:pStyle w:val="HUDBullets"/>
      </w:pPr>
      <w:r>
        <w:t>store any household belongings for 21 days to allow for collection by next-of-kin if a household member dies during their stay</w:t>
      </w:r>
    </w:p>
    <w:p w14:paraId="76774D78" w14:textId="6F9A9644" w:rsidR="005E21D3" w:rsidRDefault="005E21D3" w:rsidP="005E21D3">
      <w:pPr>
        <w:pStyle w:val="HUDBullets"/>
      </w:pPr>
      <w:r>
        <w:t>set out details about the raising and resolution of any issues, and escalation to independent dispute resolution (when required)</w:t>
      </w:r>
    </w:p>
    <w:p w14:paraId="42EC14E1" w14:textId="4099B959" w:rsidR="005E21D3" w:rsidRDefault="005E21D3" w:rsidP="005E21D3">
      <w:pPr>
        <w:pStyle w:val="HUDBullets"/>
      </w:pPr>
      <w:r>
        <w:t xml:space="preserve">comply with any mediated outcome or decision of the </w:t>
      </w:r>
      <w:r w:rsidR="00F315B8">
        <w:t>i</w:t>
      </w:r>
      <w:r>
        <w:t xml:space="preserve">ndependent </w:t>
      </w:r>
      <w:r w:rsidR="00F315B8">
        <w:t>d</w:t>
      </w:r>
      <w:r>
        <w:t xml:space="preserve">ispute </w:t>
      </w:r>
      <w:r w:rsidR="00F315B8">
        <w:t>r</w:t>
      </w:r>
      <w:r>
        <w:t xml:space="preserve">esolution </w:t>
      </w:r>
      <w:r w:rsidR="00F315B8">
        <w:t>s</w:t>
      </w:r>
      <w:r>
        <w:t>ervice.</w:t>
      </w:r>
    </w:p>
    <w:p w14:paraId="2768784B" w14:textId="71BF34C5" w:rsidR="005E21D3" w:rsidRDefault="005E21D3">
      <w:pPr>
        <w:spacing w:after="160" w:line="278" w:lineRule="auto"/>
        <w:rPr>
          <w:szCs w:val="24"/>
        </w:rPr>
      </w:pPr>
      <w:r>
        <w:br w:type="page"/>
      </w:r>
    </w:p>
    <w:p w14:paraId="4F585949" w14:textId="5D39C96F" w:rsidR="005E21D3" w:rsidRDefault="005E21D3" w:rsidP="005E21D3">
      <w:pPr>
        <w:pStyle w:val="HUDHeading1"/>
      </w:pPr>
      <w:bookmarkStart w:id="84" w:name="AP3"/>
      <w:bookmarkStart w:id="85" w:name="_Toc208995969"/>
      <w:bookmarkEnd w:id="84"/>
      <w:r>
        <w:lastRenderedPageBreak/>
        <w:t>Appendix 3: Instructions and examples for calculating contributions for clients in transitional housing</w:t>
      </w:r>
      <w:bookmarkEnd w:id="85"/>
    </w:p>
    <w:p w14:paraId="6045245D" w14:textId="77777777" w:rsidR="005E21D3" w:rsidRDefault="005E21D3" w:rsidP="005E21D3">
      <w:pPr>
        <w:pStyle w:val="HUDHeading2"/>
      </w:pPr>
      <w:bookmarkStart w:id="86" w:name="_Toc208995970"/>
      <w:r>
        <w:t>How to calculate rate</w:t>
      </w:r>
      <w:bookmarkEnd w:id="86"/>
    </w:p>
    <w:p w14:paraId="1F88F1AB" w14:textId="0813C77E" w:rsidR="003639BD" w:rsidRDefault="005E21D3" w:rsidP="005E21D3">
      <w:pPr>
        <w:pStyle w:val="HUDBody"/>
      </w:pPr>
      <w:r>
        <w:t>When you have confirmed the person’s suitability to your service, you will need to calculate their contribution amount based on the person’s income and family circumstances (refer to</w:t>
      </w:r>
      <w:r w:rsidR="00771482">
        <w:t xml:space="preserve"> </w:t>
      </w:r>
      <w:hyperlink w:anchor="AP7" w:history="1">
        <w:r w:rsidR="00771482">
          <w:rPr>
            <w:rStyle w:val="Hyperlink"/>
          </w:rPr>
          <w:t>a</w:t>
        </w:r>
        <w:r w:rsidR="003639BD" w:rsidRPr="003639BD">
          <w:rPr>
            <w:rStyle w:val="Hyperlink"/>
          </w:rPr>
          <w:t>ppendix seven</w:t>
        </w:r>
      </w:hyperlink>
      <w:r w:rsidR="00771482">
        <w:t>).</w:t>
      </w:r>
    </w:p>
    <w:p w14:paraId="6C596BDF" w14:textId="16681EDB" w:rsidR="005E21D3" w:rsidRDefault="005E21D3" w:rsidP="005E21D3">
      <w:pPr>
        <w:pStyle w:val="HUDBody"/>
      </w:pPr>
      <w:r>
        <w:t xml:space="preserve">After you have advised the person of the amount of their contribution, you will need to let MSD know by completing and submitting the </w:t>
      </w:r>
      <w:r w:rsidR="002C090F" w:rsidRPr="003639BD">
        <w:t>redirection of benefit payment form</w:t>
      </w:r>
      <w:r>
        <w:t xml:space="preserve">. To assist MSD to load the redirection promptly, these forms are required as soon as possible via </w:t>
      </w:r>
      <w:r w:rsidR="00F315B8">
        <w:t xml:space="preserve">the </w:t>
      </w:r>
      <w:r>
        <w:t xml:space="preserve">THVM. </w:t>
      </w:r>
    </w:p>
    <w:p w14:paraId="40DEF738" w14:textId="1645BE60" w:rsidR="002C090F" w:rsidRDefault="002C090F" w:rsidP="005E21D3">
      <w:pPr>
        <w:pStyle w:val="HUDBody"/>
      </w:pPr>
      <w:hyperlink r:id="rId53" w:history="1">
        <w:r w:rsidRPr="002C090F">
          <w:rPr>
            <w:rStyle w:val="Hyperlink"/>
          </w:rPr>
          <w:t>Redirection of benefit form</w:t>
        </w:r>
      </w:hyperlink>
      <w:r>
        <w:t xml:space="preserve"> (792KB, pdf)</w:t>
      </w:r>
    </w:p>
    <w:p w14:paraId="3D8C39F4" w14:textId="77777777" w:rsidR="005E21D3" w:rsidRDefault="005E21D3" w:rsidP="005E21D3">
      <w:pPr>
        <w:pStyle w:val="HUDHeading2"/>
      </w:pPr>
      <w:bookmarkStart w:id="87" w:name="_Toc208995971"/>
      <w:r>
        <w:t>Clients receiving benefits with no other income</w:t>
      </w:r>
      <w:bookmarkEnd w:id="87"/>
      <w:r>
        <w:t xml:space="preserve"> </w:t>
      </w:r>
    </w:p>
    <w:p w14:paraId="5725BF6A" w14:textId="175289AF" w:rsidR="003639BD" w:rsidRDefault="005E21D3" w:rsidP="005E21D3">
      <w:pPr>
        <w:pStyle w:val="HUDBody"/>
      </w:pPr>
      <w:r>
        <w:t xml:space="preserve">For people whose sole source of income is MSD Work and Income benefits, NZ Super, or </w:t>
      </w:r>
      <w:r w:rsidR="002C090F">
        <w:t>v</w:t>
      </w:r>
      <w:r>
        <w:t xml:space="preserve">eteran’s </w:t>
      </w:r>
      <w:r w:rsidR="002C090F">
        <w:t>p</w:t>
      </w:r>
      <w:r>
        <w:t xml:space="preserve">ension and </w:t>
      </w:r>
      <w:r w:rsidR="002C090F">
        <w:t>f</w:t>
      </w:r>
      <w:r>
        <w:t xml:space="preserve">amily </w:t>
      </w:r>
      <w:r w:rsidR="002C090F">
        <w:t>t</w:t>
      </w:r>
      <w:r>
        <w:t xml:space="preserve">ax </w:t>
      </w:r>
      <w:r w:rsidR="002C090F">
        <w:t>c</w:t>
      </w:r>
      <w:r>
        <w:t xml:space="preserve">redits, </w:t>
      </w:r>
      <w:r w:rsidR="00234BF8">
        <w:t xml:space="preserve">the </w:t>
      </w:r>
      <w:r>
        <w:t>amount the client must pay</w:t>
      </w:r>
      <w:r w:rsidR="00234BF8">
        <w:t xml:space="preserve"> is shown in the table in </w:t>
      </w:r>
      <w:hyperlink w:anchor="AP7" w:history="1">
        <w:r w:rsidR="00234BF8">
          <w:rPr>
            <w:rStyle w:val="Hyperlink"/>
          </w:rPr>
          <w:t>a</w:t>
        </w:r>
        <w:r w:rsidR="003639BD" w:rsidRPr="003639BD">
          <w:rPr>
            <w:rStyle w:val="Hyperlink"/>
          </w:rPr>
          <w:t>ppendix seven</w:t>
        </w:r>
      </w:hyperlink>
      <w:r w:rsidR="00234BF8">
        <w:t>.</w:t>
      </w:r>
    </w:p>
    <w:p w14:paraId="34246A87" w14:textId="54A69586" w:rsidR="005E21D3" w:rsidRDefault="005E21D3" w:rsidP="005E21D3">
      <w:pPr>
        <w:pStyle w:val="HUDBody"/>
      </w:pPr>
      <w:r>
        <w:t xml:space="preserve">The rates were calculated using 25 percent of the most applicable main benefit, NZ Super or </w:t>
      </w:r>
      <w:r w:rsidR="002C090F">
        <w:t>v</w:t>
      </w:r>
      <w:r>
        <w:t xml:space="preserve">eteran’s </w:t>
      </w:r>
      <w:r w:rsidR="002C090F">
        <w:t>p</w:t>
      </w:r>
      <w:r>
        <w:t>ension rate and rounded down to the nearest dollar value.</w:t>
      </w:r>
    </w:p>
    <w:p w14:paraId="74177E74" w14:textId="3BE0D911" w:rsidR="005E21D3" w:rsidRDefault="005E21D3" w:rsidP="005E21D3">
      <w:pPr>
        <w:pStyle w:val="HUDBody"/>
      </w:pPr>
      <w:r>
        <w:t>For example, Alex is married</w:t>
      </w:r>
      <w:r w:rsidR="002C090F">
        <w:t xml:space="preserve"> and</w:t>
      </w:r>
      <w:r>
        <w:t xml:space="preserve"> has no children. Both Alex and their partner </w:t>
      </w:r>
      <w:r w:rsidR="002C090F">
        <w:t>receive a s</w:t>
      </w:r>
      <w:r>
        <w:t xml:space="preserve">upported </w:t>
      </w:r>
      <w:r w:rsidR="002C090F">
        <w:t>l</w:t>
      </w:r>
      <w:r>
        <w:t xml:space="preserve">iving </w:t>
      </w:r>
      <w:r w:rsidR="002C090F">
        <w:t>p</w:t>
      </w:r>
      <w:r>
        <w:t>ayment. Their net income is $699.70 per week (</w:t>
      </w:r>
      <w:r w:rsidR="00F315B8">
        <w:t>from</w:t>
      </w:r>
      <w:r>
        <w:t xml:space="preserve"> 1 April 2025).</w:t>
      </w:r>
    </w:p>
    <w:p w14:paraId="445B17EF" w14:textId="77777777" w:rsidR="005E21D3" w:rsidRDefault="005E21D3" w:rsidP="005E21D3">
      <w:pPr>
        <w:pStyle w:val="HUDBody"/>
      </w:pPr>
      <w:r>
        <w:t>The weekly contribution amount for this household (married, supported living payment with no children) is $174.00 (25 percent of net income of $699.70).</w:t>
      </w:r>
    </w:p>
    <w:p w14:paraId="5158BBEA" w14:textId="3BF42ECD" w:rsidR="002C090F" w:rsidRDefault="005E21D3" w:rsidP="005E21D3">
      <w:pPr>
        <w:pStyle w:val="HUDBody"/>
      </w:pPr>
      <w:r>
        <w:t>MSD will review these benefits, and pension rates every year in line with annual general adjustments to the benefit rates, or when benefits are adjusted for other reasons. The latest benefit rates can be found on the Work and Income website</w:t>
      </w:r>
      <w:r w:rsidR="002C090F">
        <w:t>.</w:t>
      </w:r>
      <w:r>
        <w:t xml:space="preserve"> </w:t>
      </w:r>
    </w:p>
    <w:p w14:paraId="75B205F6" w14:textId="1D4F6AD7" w:rsidR="005E21D3" w:rsidRDefault="00F315B8" w:rsidP="005E21D3">
      <w:pPr>
        <w:pStyle w:val="HUDBody"/>
      </w:pPr>
      <w:hyperlink r:id="rId54" w:history="1">
        <w:r>
          <w:rPr>
            <w:rStyle w:val="Hyperlink"/>
          </w:rPr>
          <w:t>Benefit rates from 1 April 2025 (workandincome.govt.nz)</w:t>
        </w:r>
      </w:hyperlink>
    </w:p>
    <w:p w14:paraId="499B9BE9" w14:textId="77777777" w:rsidR="005E21D3" w:rsidRDefault="005E21D3" w:rsidP="005E21D3">
      <w:pPr>
        <w:pStyle w:val="HUDHeading2"/>
      </w:pPr>
      <w:bookmarkStart w:id="88" w:name="_Toc208995972"/>
      <w:r>
        <w:t>Clients who are working or receiving benefits with other income</w:t>
      </w:r>
      <w:bookmarkEnd w:id="88"/>
    </w:p>
    <w:p w14:paraId="71B9290F" w14:textId="77777777" w:rsidR="005E21D3" w:rsidRDefault="005E21D3" w:rsidP="005E21D3">
      <w:pPr>
        <w:pStyle w:val="HUDBody"/>
      </w:pPr>
      <w:r>
        <w:t>For people who are working or receiving benefits and other income (such as family tax credits or wages), you can calculate the rate using their actual or estimated income.</w:t>
      </w:r>
    </w:p>
    <w:p w14:paraId="67692879" w14:textId="77777777" w:rsidR="005E21D3" w:rsidRDefault="005E21D3" w:rsidP="005E21D3">
      <w:pPr>
        <w:pStyle w:val="HUDBody"/>
      </w:pPr>
      <w:r>
        <w:t>The rate of their contribution will be 25 percent of their total net income.</w:t>
      </w:r>
    </w:p>
    <w:p w14:paraId="484285E5" w14:textId="77777777" w:rsidR="005E21D3" w:rsidRDefault="005E21D3" w:rsidP="005E21D3">
      <w:pPr>
        <w:pStyle w:val="HUDBody"/>
      </w:pPr>
      <w:r>
        <w:lastRenderedPageBreak/>
        <w:t>For example, Ashley is single and receives an annual net income of $23,920 or $460 per week. The weekly contribution amount for Ashley is $115 per week (25 percent of net income of $460).</w:t>
      </w:r>
    </w:p>
    <w:p w14:paraId="3B177729" w14:textId="608DF7D1" w:rsidR="005E21D3" w:rsidRDefault="005E21D3" w:rsidP="005E21D3">
      <w:pPr>
        <w:pStyle w:val="HUDHeading2"/>
      </w:pPr>
      <w:bookmarkStart w:id="89" w:name="_Toc208995973"/>
      <w:r>
        <w:t xml:space="preserve">Family </w:t>
      </w:r>
      <w:r w:rsidR="002C090F">
        <w:t>t</w:t>
      </w:r>
      <w:r>
        <w:t xml:space="preserve">ax </w:t>
      </w:r>
      <w:r w:rsidR="002C090F">
        <w:t>c</w:t>
      </w:r>
      <w:r>
        <w:t>redits</w:t>
      </w:r>
      <w:bookmarkEnd w:id="89"/>
    </w:p>
    <w:p w14:paraId="0E4338FD" w14:textId="7D6C2EC7" w:rsidR="005E21D3" w:rsidRDefault="005E21D3" w:rsidP="005E21D3">
      <w:pPr>
        <w:pStyle w:val="HUDBody"/>
      </w:pPr>
      <w:r>
        <w:t xml:space="preserve">Family </w:t>
      </w:r>
      <w:r w:rsidR="002C090F">
        <w:t>t</w:t>
      </w:r>
      <w:r>
        <w:t xml:space="preserve">ax </w:t>
      </w:r>
      <w:r w:rsidR="002C090F">
        <w:t>c</w:t>
      </w:r>
      <w:r>
        <w:t xml:space="preserve">redits (FTC) are also considered income for the purposes of the client contribution amount. The amount of the contribution is based on 25 percent of the </w:t>
      </w:r>
      <w:r w:rsidR="002C090F">
        <w:t>f</w:t>
      </w:r>
      <w:r>
        <w:t xml:space="preserve">amily </w:t>
      </w:r>
      <w:r w:rsidR="002C090F">
        <w:t>t</w:t>
      </w:r>
      <w:r>
        <w:t>ax category “first or only child, regardless of the number of children</w:t>
      </w:r>
      <w:r w:rsidR="002C090F">
        <w:t>”</w:t>
      </w:r>
      <w:r>
        <w:t xml:space="preserve">. </w:t>
      </w:r>
    </w:p>
    <w:p w14:paraId="447CF1EA" w14:textId="3A4B947C" w:rsidR="005E21D3" w:rsidRDefault="005E21D3" w:rsidP="005E21D3">
      <w:pPr>
        <w:pStyle w:val="HUDBody"/>
      </w:pPr>
      <w:r>
        <w:t>We have calculated this amount for you as follows</w:t>
      </w:r>
      <w:r w:rsidR="002C090F">
        <w:t>.</w:t>
      </w:r>
    </w:p>
    <w:tbl>
      <w:tblPr>
        <w:tblStyle w:val="TableGrid"/>
        <w:tblW w:w="0" w:type="auto"/>
        <w:tblLook w:val="04A0" w:firstRow="1" w:lastRow="0" w:firstColumn="1" w:lastColumn="0" w:noHBand="0" w:noVBand="1"/>
      </w:tblPr>
      <w:tblGrid>
        <w:gridCol w:w="2254"/>
        <w:gridCol w:w="2254"/>
        <w:gridCol w:w="2254"/>
        <w:gridCol w:w="2254"/>
      </w:tblGrid>
      <w:tr w:rsidR="005E21D3" w14:paraId="63B4F4D1" w14:textId="77777777" w:rsidTr="00F56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7DC7154E" w14:textId="407E7AE3" w:rsidR="005E21D3" w:rsidRPr="005E21D3" w:rsidRDefault="005E21D3" w:rsidP="005E21D3">
            <w:pPr>
              <w:pStyle w:val="HUDBody"/>
              <w:rPr>
                <w:b w:val="0"/>
                <w:bCs/>
              </w:rPr>
            </w:pPr>
            <w:r w:rsidRPr="005E21D3">
              <w:rPr>
                <w:b w:val="0"/>
                <w:bCs/>
              </w:rPr>
              <w:t>FTC ‘first or only child’ (as at 1 April 2024) $144.30</w:t>
            </w:r>
          </w:p>
        </w:tc>
        <w:tc>
          <w:tcPr>
            <w:tcW w:w="2254" w:type="dxa"/>
            <w:vAlign w:val="center"/>
          </w:tcPr>
          <w:p w14:paraId="6402150B" w14:textId="77777777" w:rsidR="005E21D3" w:rsidRPr="005E21D3" w:rsidRDefault="005E21D3" w:rsidP="005E21D3">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color w:val="000000"/>
                <w:szCs w:val="20"/>
                <w:lang w:eastAsia="en-NZ"/>
              </w:rPr>
            </w:pPr>
            <w:r w:rsidRPr="005E21D3">
              <w:rPr>
                <w:rFonts w:eastAsia="Times New Roman"/>
                <w:b w:val="0"/>
                <w:bCs/>
                <w:color w:val="000000"/>
                <w:szCs w:val="20"/>
                <w:lang w:eastAsia="en-NZ"/>
              </w:rPr>
              <w:t>FTC</w:t>
            </w:r>
          </w:p>
          <w:p w14:paraId="59893CB5" w14:textId="3EEE2C60" w:rsidR="005E21D3" w:rsidRPr="005E21D3" w:rsidRDefault="005E21D3" w:rsidP="005E21D3">
            <w:pPr>
              <w:pStyle w:val="HUDBody"/>
              <w:cnfStyle w:val="100000000000" w:firstRow="1" w:lastRow="0" w:firstColumn="0" w:lastColumn="0" w:oddVBand="0" w:evenVBand="0" w:oddHBand="0" w:evenHBand="0" w:firstRowFirstColumn="0" w:firstRowLastColumn="0" w:lastRowFirstColumn="0" w:lastRowLastColumn="0"/>
              <w:rPr>
                <w:b w:val="0"/>
                <w:bCs/>
              </w:rPr>
            </w:pPr>
            <w:r w:rsidRPr="005E21D3">
              <w:rPr>
                <w:rFonts w:eastAsia="Times New Roman"/>
                <w:b w:val="0"/>
                <w:bCs/>
                <w:color w:val="000000"/>
                <w:szCs w:val="20"/>
                <w:lang w:eastAsia="en-NZ"/>
              </w:rPr>
              <w:t>contribution amount per day</w:t>
            </w:r>
          </w:p>
        </w:tc>
        <w:tc>
          <w:tcPr>
            <w:tcW w:w="2254" w:type="dxa"/>
            <w:vAlign w:val="center"/>
          </w:tcPr>
          <w:p w14:paraId="52292F7F" w14:textId="77777777" w:rsidR="005E21D3" w:rsidRPr="005E21D3" w:rsidRDefault="005E21D3" w:rsidP="005E21D3">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color w:val="000000"/>
                <w:szCs w:val="20"/>
                <w:lang w:eastAsia="en-NZ"/>
              </w:rPr>
            </w:pPr>
            <w:r w:rsidRPr="005E21D3">
              <w:rPr>
                <w:rFonts w:eastAsia="Times New Roman"/>
                <w:b w:val="0"/>
                <w:bCs/>
                <w:color w:val="000000"/>
                <w:szCs w:val="20"/>
                <w:lang w:eastAsia="en-NZ"/>
              </w:rPr>
              <w:t>FTC</w:t>
            </w:r>
          </w:p>
          <w:p w14:paraId="00EAD0D6" w14:textId="11100610" w:rsidR="005E21D3" w:rsidRPr="005E21D3" w:rsidRDefault="005E21D3" w:rsidP="005E21D3">
            <w:pPr>
              <w:pStyle w:val="HUDBody"/>
              <w:cnfStyle w:val="100000000000" w:firstRow="1" w:lastRow="0" w:firstColumn="0" w:lastColumn="0" w:oddVBand="0" w:evenVBand="0" w:oddHBand="0" w:evenHBand="0" w:firstRowFirstColumn="0" w:firstRowLastColumn="0" w:lastRowFirstColumn="0" w:lastRowLastColumn="0"/>
              <w:rPr>
                <w:b w:val="0"/>
                <w:bCs/>
              </w:rPr>
            </w:pPr>
            <w:r w:rsidRPr="005E21D3">
              <w:rPr>
                <w:rFonts w:eastAsia="Times New Roman"/>
                <w:b w:val="0"/>
                <w:bCs/>
                <w:color w:val="000000"/>
                <w:szCs w:val="20"/>
                <w:lang w:eastAsia="en-NZ"/>
              </w:rPr>
              <w:t>contribution amount per week</w:t>
            </w:r>
          </w:p>
        </w:tc>
        <w:tc>
          <w:tcPr>
            <w:tcW w:w="2254" w:type="dxa"/>
            <w:vAlign w:val="center"/>
          </w:tcPr>
          <w:p w14:paraId="2EC54F02" w14:textId="77777777" w:rsidR="005E21D3" w:rsidRPr="005E21D3" w:rsidRDefault="005E21D3" w:rsidP="005E21D3">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color w:val="000000"/>
                <w:szCs w:val="20"/>
                <w:lang w:eastAsia="en-NZ"/>
              </w:rPr>
            </w:pPr>
            <w:r w:rsidRPr="005E21D3">
              <w:rPr>
                <w:rFonts w:eastAsia="Times New Roman"/>
                <w:b w:val="0"/>
                <w:bCs/>
                <w:color w:val="000000"/>
                <w:szCs w:val="20"/>
                <w:lang w:eastAsia="en-NZ"/>
              </w:rPr>
              <w:t>FTC</w:t>
            </w:r>
          </w:p>
          <w:p w14:paraId="4B5A567E" w14:textId="6274C63B" w:rsidR="005E21D3" w:rsidRPr="005E21D3" w:rsidRDefault="005E21D3" w:rsidP="005E21D3">
            <w:pPr>
              <w:pStyle w:val="HUDBody"/>
              <w:cnfStyle w:val="100000000000" w:firstRow="1" w:lastRow="0" w:firstColumn="0" w:lastColumn="0" w:oddVBand="0" w:evenVBand="0" w:oddHBand="0" w:evenHBand="0" w:firstRowFirstColumn="0" w:firstRowLastColumn="0" w:lastRowFirstColumn="0" w:lastRowLastColumn="0"/>
              <w:rPr>
                <w:b w:val="0"/>
                <w:bCs/>
              </w:rPr>
            </w:pPr>
            <w:r w:rsidRPr="005E21D3">
              <w:rPr>
                <w:rFonts w:eastAsia="Times New Roman"/>
                <w:b w:val="0"/>
                <w:bCs/>
                <w:color w:val="000000"/>
                <w:szCs w:val="20"/>
                <w:lang w:eastAsia="en-NZ"/>
              </w:rPr>
              <w:t>contribution amount per annum</w:t>
            </w:r>
          </w:p>
        </w:tc>
      </w:tr>
      <w:tr w:rsidR="005E21D3" w14:paraId="757F34AA" w14:textId="77777777">
        <w:tc>
          <w:tcPr>
            <w:cnfStyle w:val="001000000000" w:firstRow="0" w:lastRow="0" w:firstColumn="1" w:lastColumn="0" w:oddVBand="0" w:evenVBand="0" w:oddHBand="0" w:evenHBand="0" w:firstRowFirstColumn="0" w:firstRowLastColumn="0" w:lastRowFirstColumn="0" w:lastRowLastColumn="0"/>
            <w:tcW w:w="2254" w:type="dxa"/>
            <w:vMerge/>
          </w:tcPr>
          <w:p w14:paraId="3020E173" w14:textId="77777777" w:rsidR="005E21D3" w:rsidRDefault="005E21D3" w:rsidP="005E21D3">
            <w:pPr>
              <w:pStyle w:val="HUDBody"/>
            </w:pPr>
          </w:p>
        </w:tc>
        <w:tc>
          <w:tcPr>
            <w:tcW w:w="2254" w:type="dxa"/>
          </w:tcPr>
          <w:p w14:paraId="7875C55A" w14:textId="7BF5857E"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rPr>
                <w:b/>
                <w:bCs/>
              </w:rPr>
            </w:pPr>
            <w:r w:rsidRPr="003C6168">
              <w:rPr>
                <w:szCs w:val="20"/>
              </w:rPr>
              <w:t>$5.15</w:t>
            </w:r>
          </w:p>
        </w:tc>
        <w:tc>
          <w:tcPr>
            <w:tcW w:w="2254" w:type="dxa"/>
          </w:tcPr>
          <w:p w14:paraId="5920FFF6" w14:textId="150F37B3" w:rsid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3C6168">
              <w:rPr>
                <w:szCs w:val="20"/>
              </w:rPr>
              <w:t>$36.07</w:t>
            </w:r>
          </w:p>
        </w:tc>
        <w:tc>
          <w:tcPr>
            <w:tcW w:w="2254" w:type="dxa"/>
          </w:tcPr>
          <w:p w14:paraId="62085A5B" w14:textId="03D88A80" w:rsid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3C6168">
              <w:rPr>
                <w:szCs w:val="20"/>
              </w:rPr>
              <w:t>$1,875.64</w:t>
            </w:r>
          </w:p>
        </w:tc>
      </w:tr>
    </w:tbl>
    <w:p w14:paraId="1A619A4A" w14:textId="77777777" w:rsidR="005E21D3" w:rsidRDefault="005E21D3" w:rsidP="005E21D3">
      <w:pPr>
        <w:pStyle w:val="HUDBody"/>
      </w:pPr>
    </w:p>
    <w:p w14:paraId="526BAF1E" w14:textId="008C2D32" w:rsidR="005E21D3" w:rsidRDefault="005E21D3" w:rsidP="005E21D3">
      <w:pPr>
        <w:pStyle w:val="HUDBody"/>
      </w:pPr>
      <w:r>
        <w:t>Clients with a shared custody arrangement may also be receiving FTC for the time that they have custody of their children. To calculate the contribution amount you will need to use the daily FTC contribution rate.</w:t>
      </w:r>
    </w:p>
    <w:p w14:paraId="6071C5B1" w14:textId="1CAE89F8" w:rsidR="002C090F" w:rsidRDefault="005E21D3" w:rsidP="005E21D3">
      <w:pPr>
        <w:pStyle w:val="HUDBody"/>
      </w:pPr>
      <w:r>
        <w:t>For more help, see</w:t>
      </w:r>
      <w:r w:rsidR="002C090F">
        <w:t xml:space="preserve"> the Work and Income website.</w:t>
      </w:r>
      <w:r>
        <w:t xml:space="preserve"> </w:t>
      </w:r>
    </w:p>
    <w:p w14:paraId="4BBC1D99" w14:textId="7B1CCE1F" w:rsidR="005E21D3" w:rsidRDefault="00F315B8" w:rsidP="005E21D3">
      <w:pPr>
        <w:pStyle w:val="HUDBody"/>
      </w:pPr>
      <w:hyperlink r:id="rId55" w:history="1">
        <w:r>
          <w:rPr>
            <w:rStyle w:val="Hyperlink"/>
          </w:rPr>
          <w:t>Examples of calculating 25 percent of family tax credit entitlement (workandincome.govt.nz)</w:t>
        </w:r>
      </w:hyperlink>
    </w:p>
    <w:p w14:paraId="711C8D2B" w14:textId="77777777" w:rsidR="005E21D3" w:rsidRDefault="005E21D3" w:rsidP="005E21D3">
      <w:pPr>
        <w:pStyle w:val="HUDHeading2"/>
      </w:pPr>
      <w:bookmarkStart w:id="90" w:name="_Toc208995974"/>
      <w:r>
        <w:t>Charging less than the rate calculated</w:t>
      </w:r>
      <w:bookmarkEnd w:id="90"/>
    </w:p>
    <w:p w14:paraId="6F60A833" w14:textId="77777777" w:rsidR="005E21D3" w:rsidRDefault="005E21D3" w:rsidP="005E21D3">
      <w:pPr>
        <w:pStyle w:val="HUDBody"/>
      </w:pPr>
      <w:r>
        <w:t>There is some discretion to charge less if you choose to do so in exceptional circumstances, such as where:</w:t>
      </w:r>
    </w:p>
    <w:p w14:paraId="6A2196D9" w14:textId="2EADD67F" w:rsidR="005E21D3" w:rsidRDefault="002C090F" w:rsidP="005E21D3">
      <w:pPr>
        <w:pStyle w:val="HUDBullets"/>
      </w:pPr>
      <w:r>
        <w:t>y</w:t>
      </w:r>
      <w:r w:rsidR="005E21D3">
        <w:t>ou consider the person does not have sufficient income to cover the contribution due to bankruptcy</w:t>
      </w:r>
    </w:p>
    <w:p w14:paraId="25A4F972" w14:textId="5E0A909D" w:rsidR="005E21D3" w:rsidRDefault="002C090F" w:rsidP="005E21D3">
      <w:pPr>
        <w:pStyle w:val="HUDBullets"/>
      </w:pPr>
      <w:r>
        <w:t>t</w:t>
      </w:r>
      <w:r w:rsidR="005E21D3">
        <w:t>he person has no income as they are waiting for MSD Work and Income to grant their benefit.</w:t>
      </w:r>
    </w:p>
    <w:p w14:paraId="4502527F" w14:textId="736AEE93" w:rsidR="005E21D3" w:rsidRDefault="005E21D3" w:rsidP="005E21D3">
      <w:pPr>
        <w:pStyle w:val="HUDBody"/>
      </w:pPr>
      <w:r>
        <w:t xml:space="preserve">In both these situations, once the person </w:t>
      </w:r>
      <w:r w:rsidR="002C090F">
        <w:t>can</w:t>
      </w:r>
      <w:r>
        <w:t xml:space="preserve"> pay the full contribution, you should change the amount charged to the correct rate.</w:t>
      </w:r>
    </w:p>
    <w:p w14:paraId="0523A1F0" w14:textId="684F71EA" w:rsidR="005E21D3" w:rsidRDefault="005E21D3" w:rsidP="005E21D3">
      <w:pPr>
        <w:pStyle w:val="HUDHeading2"/>
      </w:pPr>
      <w:bookmarkStart w:id="91" w:name="_Toc208995975"/>
      <w:r>
        <w:t xml:space="preserve">Paying the contribution: </w:t>
      </w:r>
      <w:r w:rsidR="002C090F">
        <w:t>r</w:t>
      </w:r>
      <w:r>
        <w:t>edirections from MSD Work and Income</w:t>
      </w:r>
      <w:bookmarkEnd w:id="91"/>
    </w:p>
    <w:p w14:paraId="430838D2" w14:textId="6AB5C9EF" w:rsidR="005E21D3" w:rsidRDefault="005E21D3" w:rsidP="005E21D3">
      <w:pPr>
        <w:pStyle w:val="HUDBody"/>
      </w:pPr>
      <w:r>
        <w:t xml:space="preserve">If the person is on a main benefit, NZ Super or </w:t>
      </w:r>
      <w:r w:rsidR="002C090F">
        <w:t>v</w:t>
      </w:r>
      <w:r>
        <w:t xml:space="preserve">eteran’s </w:t>
      </w:r>
      <w:r w:rsidR="002C090F">
        <w:t>p</w:t>
      </w:r>
      <w:r>
        <w:t xml:space="preserve">ension, MSD can redirect the client’s contribution amount to you, provided you have </w:t>
      </w:r>
      <w:r w:rsidR="002C090F" w:rsidRPr="003639BD">
        <w:t>registered with Work and Income as a supplier</w:t>
      </w:r>
      <w:r>
        <w:t xml:space="preserve">.  </w:t>
      </w:r>
    </w:p>
    <w:p w14:paraId="6F1E9E3E" w14:textId="4C095B1F" w:rsidR="002C090F" w:rsidRDefault="00F315B8" w:rsidP="005E21D3">
      <w:pPr>
        <w:pStyle w:val="HUDBody"/>
      </w:pPr>
      <w:hyperlink r:id="rId56" w:history="1">
        <w:r>
          <w:rPr>
            <w:rStyle w:val="Hyperlink"/>
          </w:rPr>
          <w:t>Register with Work and Income as a supplier (workandincome.govt.nz)</w:t>
        </w:r>
      </w:hyperlink>
    </w:p>
    <w:p w14:paraId="2D78B8D1" w14:textId="77777777" w:rsidR="005E21D3" w:rsidRDefault="005E21D3" w:rsidP="005E21D3">
      <w:pPr>
        <w:pStyle w:val="HUDBody"/>
      </w:pPr>
      <w:r>
        <w:t xml:space="preserve">Note: Student allowances cannot be redirected. </w:t>
      </w:r>
    </w:p>
    <w:p w14:paraId="0B56EC51" w14:textId="2D2F5BE7" w:rsidR="005E21D3" w:rsidRDefault="002C090F" w:rsidP="005E21D3">
      <w:pPr>
        <w:pStyle w:val="HUDBody"/>
      </w:pPr>
      <w:r>
        <w:t>D</w:t>
      </w:r>
      <w:r w:rsidR="005E21D3">
        <w:t xml:space="preserve">iscuss with the client their contribution amount and present the option to redirect a portion of their benefit (if applicable) to cover the cost of the contribution. </w:t>
      </w:r>
      <w:r>
        <w:t>A</w:t>
      </w:r>
      <w:r w:rsidR="005E21D3">
        <w:t>dvise MSD if the household had agreed that the contribution will be paid by redirection of benefit.</w:t>
      </w:r>
    </w:p>
    <w:p w14:paraId="20B4905B" w14:textId="0CE56C29" w:rsidR="005E21D3" w:rsidRDefault="005E21D3" w:rsidP="005E21D3">
      <w:pPr>
        <w:pStyle w:val="HUDBody"/>
      </w:pPr>
      <w:r>
        <w:t>Benefit payments are paid one week in arrears. The start date of a redirection of benefit will be set up to reflect this. This generally means that contributions to your service will commence the week after the person starts in your service.</w:t>
      </w:r>
      <w:r>
        <w:rPr>
          <w:rStyle w:val="FootnoteReference"/>
        </w:rPr>
        <w:footnoteReference w:id="9"/>
      </w:r>
      <w:r>
        <w:t xml:space="preserve"> The redirection forms need to be provided promptly to MSD for payment. </w:t>
      </w:r>
    </w:p>
    <w:p w14:paraId="4A12BDFD" w14:textId="738EAF6D" w:rsidR="005E21D3" w:rsidRDefault="005E21D3" w:rsidP="005E21D3">
      <w:pPr>
        <w:pStyle w:val="HUDBody"/>
      </w:pPr>
      <w:r>
        <w:t>If a client’s benefit stops</w:t>
      </w:r>
      <w:r w:rsidR="002C090F">
        <w:t>,</w:t>
      </w:r>
      <w:r>
        <w:t xml:space="preserve"> redirections cannot be made, and you will have to request payment direct from the client.</w:t>
      </w:r>
    </w:p>
    <w:p w14:paraId="4C0F5EF6" w14:textId="77777777" w:rsidR="005E21D3" w:rsidRDefault="005E21D3" w:rsidP="005E21D3">
      <w:pPr>
        <w:pStyle w:val="HUDHeading2"/>
      </w:pPr>
      <w:bookmarkStart w:id="92" w:name="_Toc208995976"/>
      <w:r>
        <w:t>Paying the contribution: People who are working</w:t>
      </w:r>
      <w:bookmarkEnd w:id="92"/>
    </w:p>
    <w:p w14:paraId="11DE93BF" w14:textId="01E5B130" w:rsidR="005E21D3" w:rsidRDefault="005E21D3" w:rsidP="005E21D3">
      <w:pPr>
        <w:pStyle w:val="HUDBody"/>
      </w:pPr>
      <w:r>
        <w:t>You will need to make your own payment arrangements for people who are working and not</w:t>
      </w:r>
      <w:r w:rsidR="002C090F">
        <w:t xml:space="preserve"> </w:t>
      </w:r>
      <w:r>
        <w:t>receiving a benefit to pay their contribution, or where the client does not want a redirection in place.</w:t>
      </w:r>
    </w:p>
    <w:p w14:paraId="22D6B60B" w14:textId="77777777" w:rsidR="005E21D3" w:rsidRDefault="005E21D3" w:rsidP="005E21D3">
      <w:pPr>
        <w:pStyle w:val="HUDHeading2"/>
      </w:pPr>
      <w:bookmarkStart w:id="93" w:name="_Toc208995977"/>
      <w:r>
        <w:t>Client contribution arrears</w:t>
      </w:r>
      <w:bookmarkEnd w:id="93"/>
    </w:p>
    <w:p w14:paraId="7396353A" w14:textId="3924B917" w:rsidR="000A7333" w:rsidRDefault="000A7333" w:rsidP="005E21D3">
      <w:pPr>
        <w:pStyle w:val="HUDBody"/>
      </w:pPr>
      <w:r>
        <w:t>C</w:t>
      </w:r>
      <w:r w:rsidR="005E21D3">
        <w:t xml:space="preserve">onsistently monitor the client’s payments </w:t>
      </w:r>
      <w:r>
        <w:t xml:space="preserve">so </w:t>
      </w:r>
      <w:r w:rsidR="005E21D3">
        <w:t xml:space="preserve">the client does not fall </w:t>
      </w:r>
      <w:r w:rsidR="00E222A6">
        <w:t>behind in their payments (arrears)</w:t>
      </w:r>
      <w:r w:rsidR="005E21D3">
        <w:t xml:space="preserve">. When dealing with </w:t>
      </w:r>
      <w:r w:rsidR="00E222A6">
        <w:t xml:space="preserve">unpaid </w:t>
      </w:r>
      <w:r w:rsidR="005E21D3">
        <w:t>household contribution</w:t>
      </w:r>
      <w:r w:rsidR="00E222A6">
        <w:t>s</w:t>
      </w:r>
      <w:r w:rsidR="005E21D3">
        <w:t xml:space="preserve">, providers should first check with tenants about the missed payment and discuss how they plan to bring the household contribution up to date. </w:t>
      </w:r>
    </w:p>
    <w:p w14:paraId="22128B8E" w14:textId="42B78A34" w:rsidR="005E21D3" w:rsidRDefault="000A7333" w:rsidP="005E21D3">
      <w:pPr>
        <w:pStyle w:val="HUDBody"/>
      </w:pPr>
      <w:r>
        <w:t>R</w:t>
      </w:r>
      <w:r w:rsidR="005E21D3">
        <w:t xml:space="preserve">ecord any payment agreements in writing. If an agreement cannot be reached, providers can send a notice to remedy (if the tenant owes less than 21 days' household contribution), consider dispute resolution options, or inform tenants about the </w:t>
      </w:r>
      <w:r>
        <w:t>a</w:t>
      </w:r>
      <w:r w:rsidR="005E21D3">
        <w:t xml:space="preserve">ccommodation </w:t>
      </w:r>
      <w:r>
        <w:t>s</w:t>
      </w:r>
      <w:r w:rsidR="005E21D3">
        <w:t>upplement support from Work and Income that may be available to help with their payments, even for tenants not on benefits.</w:t>
      </w:r>
    </w:p>
    <w:p w14:paraId="3C808BF8" w14:textId="77777777" w:rsidR="005E21D3" w:rsidRDefault="005E21D3" w:rsidP="003639BD">
      <w:pPr>
        <w:pStyle w:val="HUDHeading2"/>
      </w:pPr>
      <w:bookmarkStart w:id="94" w:name="_Toc208995978"/>
      <w:r>
        <w:t>Utilities charges – transitional housing properties</w:t>
      </w:r>
      <w:bookmarkEnd w:id="94"/>
    </w:p>
    <w:p w14:paraId="2A868A94" w14:textId="77777777" w:rsidR="005E21D3" w:rsidRDefault="005E21D3" w:rsidP="005E21D3">
      <w:pPr>
        <w:pStyle w:val="HUDBody"/>
      </w:pPr>
      <w:r>
        <w:t>If your service has separate charges for the cost of utilities (power, gas, internet etc) these can be charged separately.</w:t>
      </w:r>
    </w:p>
    <w:p w14:paraId="067F0F4F" w14:textId="163DC4A2" w:rsidR="005E21D3" w:rsidRDefault="005E21D3" w:rsidP="005E21D3">
      <w:pPr>
        <w:pStyle w:val="HUDBody"/>
      </w:pPr>
      <w:r>
        <w:t xml:space="preserve">Clients entering your service must be advised of the amount of the charge and what the charge is in relation to before they </w:t>
      </w:r>
      <w:r w:rsidR="000A7333">
        <w:t xml:space="preserve">begin </w:t>
      </w:r>
      <w:r>
        <w:t xml:space="preserve">their stay with your service. </w:t>
      </w:r>
    </w:p>
    <w:p w14:paraId="537AFE5F" w14:textId="77777777" w:rsidR="005E21D3" w:rsidRDefault="005E21D3" w:rsidP="005E21D3">
      <w:pPr>
        <w:pStyle w:val="HUDBody"/>
      </w:pPr>
      <w:r>
        <w:t>Typically, a utilities charge can cover:</w:t>
      </w:r>
    </w:p>
    <w:p w14:paraId="307D76F4" w14:textId="44DF0FC2" w:rsidR="005E21D3" w:rsidRDefault="000A7333" w:rsidP="005E21D3">
      <w:pPr>
        <w:pStyle w:val="HUDBullets"/>
      </w:pPr>
      <w:r>
        <w:t>e</w:t>
      </w:r>
      <w:r w:rsidR="005E21D3">
        <w:t>lectricity and gas, including refilling gas bottles</w:t>
      </w:r>
    </w:p>
    <w:p w14:paraId="58492C75" w14:textId="27013C09" w:rsidR="005E21D3" w:rsidRDefault="000A7333" w:rsidP="005E21D3">
      <w:pPr>
        <w:pStyle w:val="HUDBullets"/>
      </w:pPr>
      <w:r>
        <w:lastRenderedPageBreak/>
        <w:t>t</w:t>
      </w:r>
      <w:r w:rsidR="005E21D3">
        <w:t>elephone and internet</w:t>
      </w:r>
    </w:p>
    <w:p w14:paraId="0A3B58BA" w14:textId="7568F2BE" w:rsidR="005E21D3" w:rsidRDefault="000A7333" w:rsidP="005E21D3">
      <w:pPr>
        <w:pStyle w:val="HUDBullets"/>
      </w:pPr>
      <w:r>
        <w:t>w</w:t>
      </w:r>
      <w:r w:rsidR="005E21D3">
        <w:t>ater consumption charges if the water supplier charges on how much is used.</w:t>
      </w:r>
    </w:p>
    <w:p w14:paraId="21C79158" w14:textId="77777777" w:rsidR="005E21D3" w:rsidRDefault="005E21D3" w:rsidP="005E21D3">
      <w:pPr>
        <w:pStyle w:val="HUDBody"/>
      </w:pPr>
      <w:r>
        <w:t>You cannot charge a utilities fee to cover:</w:t>
      </w:r>
    </w:p>
    <w:p w14:paraId="001F922C" w14:textId="581E45F9" w:rsidR="005E21D3" w:rsidRDefault="000A7333" w:rsidP="005E21D3">
      <w:pPr>
        <w:pStyle w:val="HUDBullets"/>
      </w:pPr>
      <w:r>
        <w:t>p</w:t>
      </w:r>
      <w:r w:rsidR="005E21D3">
        <w:t>roperty rates paid to the council</w:t>
      </w:r>
    </w:p>
    <w:p w14:paraId="5637541C" w14:textId="73CC7290" w:rsidR="005E21D3" w:rsidRDefault="000A7333" w:rsidP="005E21D3">
      <w:pPr>
        <w:pStyle w:val="HUDBullets"/>
      </w:pPr>
      <w:r>
        <w:t>i</w:t>
      </w:r>
      <w:r w:rsidR="005E21D3">
        <w:t>nsurance premiums for insuring the house (not the contents)</w:t>
      </w:r>
    </w:p>
    <w:p w14:paraId="23A2A3DF" w14:textId="7E27B003" w:rsidR="005E21D3" w:rsidRDefault="000A7333" w:rsidP="005E21D3">
      <w:pPr>
        <w:pStyle w:val="HUDBullets"/>
      </w:pPr>
      <w:r>
        <w:t>b</w:t>
      </w:r>
      <w:r w:rsidR="005E21D3">
        <w:t>ody corporate levies if the property is part of a unit title</w:t>
      </w:r>
    </w:p>
    <w:p w14:paraId="317560E1" w14:textId="53984D0A" w:rsidR="005E21D3" w:rsidRDefault="000A7333" w:rsidP="005E21D3">
      <w:pPr>
        <w:pStyle w:val="HUDBullets"/>
      </w:pPr>
      <w:r>
        <w:t>h</w:t>
      </w:r>
      <w:r w:rsidR="005E21D3">
        <w:t>ire charges for gas bottles, if the property has gas supplied by bottles as the main form of water heating and cooking.</w:t>
      </w:r>
    </w:p>
    <w:p w14:paraId="7F125A6C" w14:textId="1612C7FA" w:rsidR="005E21D3" w:rsidRDefault="005E21D3" w:rsidP="005E21D3">
      <w:pPr>
        <w:pStyle w:val="HUDBody"/>
      </w:pPr>
      <w:r>
        <w:t>If your service charges a utilit</w:t>
      </w:r>
      <w:r w:rsidR="000A7333">
        <w:t>y</w:t>
      </w:r>
      <w:r>
        <w:t xml:space="preserve"> fee you must indicate the amount on the comments section in the placement screen in </w:t>
      </w:r>
      <w:r w:rsidR="000A7333">
        <w:t xml:space="preserve">the </w:t>
      </w:r>
      <w:r>
        <w:t xml:space="preserve">THVM separately to the client’s contribution amount. You may also wish to add the utilities charge along with the client’s contribution amount in the </w:t>
      </w:r>
      <w:r w:rsidR="000A7333" w:rsidRPr="003639BD">
        <w:t>redirection of benefit payment form</w:t>
      </w:r>
      <w:r>
        <w:t>.</w:t>
      </w:r>
      <w:r>
        <w:rPr>
          <w:rStyle w:val="FootnoteReference"/>
        </w:rPr>
        <w:footnoteReference w:id="10"/>
      </w:r>
      <w:r>
        <w:t xml:space="preserve">  </w:t>
      </w:r>
    </w:p>
    <w:p w14:paraId="009C984E" w14:textId="68C310B7" w:rsidR="000A7333" w:rsidRDefault="000A7333" w:rsidP="005E21D3">
      <w:pPr>
        <w:pStyle w:val="HUDBody"/>
      </w:pPr>
      <w:hyperlink r:id="rId57" w:history="1">
        <w:r w:rsidRPr="000A7333">
          <w:rPr>
            <w:rStyle w:val="Hyperlink"/>
          </w:rPr>
          <w:t>Redirection of benefit payment form</w:t>
        </w:r>
      </w:hyperlink>
      <w:r>
        <w:t xml:space="preserve"> (792KB, pdf)</w:t>
      </w:r>
    </w:p>
    <w:p w14:paraId="7E23D465" w14:textId="77777777" w:rsidR="005E21D3" w:rsidRDefault="005E21D3" w:rsidP="005E21D3">
      <w:pPr>
        <w:pStyle w:val="HUDHeading2"/>
      </w:pPr>
      <w:bookmarkStart w:id="95" w:name="_Toc208995979"/>
      <w:r>
        <w:t>Utilities charges – transitional housing models</w:t>
      </w:r>
      <w:bookmarkEnd w:id="95"/>
    </w:p>
    <w:p w14:paraId="1351050D" w14:textId="698E8B9F" w:rsidR="005E21D3" w:rsidRDefault="005E21D3" w:rsidP="005E21D3">
      <w:pPr>
        <w:pStyle w:val="HUDBody"/>
      </w:pPr>
      <w:r>
        <w:t xml:space="preserve">Contracted motels </w:t>
      </w:r>
      <w:r w:rsidR="000A7333">
        <w:t>must</w:t>
      </w:r>
      <w:r>
        <w:t xml:space="preserve"> provide business as usual services for contracted units. Some contracted motels may have additional charges for services such as telephone, internet and laundry. If these charges do apply, then clients are required to pay these direct to the motel.</w:t>
      </w:r>
    </w:p>
    <w:p w14:paraId="05B9E885" w14:textId="77777777" w:rsidR="005E21D3" w:rsidRDefault="005E21D3">
      <w:pPr>
        <w:spacing w:after="160" w:line="278" w:lineRule="auto"/>
        <w:rPr>
          <w:szCs w:val="24"/>
        </w:rPr>
      </w:pPr>
      <w:r>
        <w:br w:type="page"/>
      </w:r>
    </w:p>
    <w:p w14:paraId="406EEBC3" w14:textId="4F7C74F6" w:rsidR="005E21D3" w:rsidRDefault="005E21D3" w:rsidP="005E21D3">
      <w:pPr>
        <w:pStyle w:val="HUDHeading1"/>
      </w:pPr>
      <w:bookmarkStart w:id="96" w:name="AP4"/>
      <w:bookmarkStart w:id="97" w:name="_Toc208995980"/>
      <w:bookmarkEnd w:id="96"/>
      <w:r>
        <w:lastRenderedPageBreak/>
        <w:t>Appendix 4: Incident and event template and guidance</w:t>
      </w:r>
      <w:bookmarkEnd w:id="97"/>
    </w:p>
    <w:p w14:paraId="35FC5728" w14:textId="458E59B5" w:rsidR="005E21D3" w:rsidRDefault="005E21D3" w:rsidP="005E21D3">
      <w:pPr>
        <w:pStyle w:val="HUDBody"/>
      </w:pPr>
      <w:r w:rsidRPr="005E21D3">
        <w:t xml:space="preserve">The following template must be used to notify your Senior Advisor </w:t>
      </w:r>
      <w:r w:rsidR="000A7333">
        <w:t xml:space="preserve">at Te Tūāpapa Kura Kāinga </w:t>
      </w:r>
      <w:r w:rsidRPr="005E21D3">
        <w:t xml:space="preserve">of </w:t>
      </w:r>
      <w:r w:rsidR="000A7333">
        <w:t>c</w:t>
      </w:r>
      <w:r w:rsidRPr="005E21D3">
        <w:t>lass 2 (</w:t>
      </w:r>
      <w:r w:rsidR="00F315B8">
        <w:t>h</w:t>
      </w:r>
      <w:r w:rsidRPr="005E21D3">
        <w:t>igh</w:t>
      </w:r>
      <w:r w:rsidR="000A7333">
        <w:t xml:space="preserve"> or e</w:t>
      </w:r>
      <w:r w:rsidRPr="005E21D3">
        <w:t xml:space="preserve">xtreme) incidents or events. Send completed forms to </w:t>
      </w:r>
      <w:hyperlink r:id="rId58" w:history="1">
        <w:r w:rsidRPr="0001274A">
          <w:rPr>
            <w:rStyle w:val="Hyperlink"/>
          </w:rPr>
          <w:t>incidents@hud.govt.nz</w:t>
        </w:r>
      </w:hyperlink>
      <w:r w:rsidR="000A7333">
        <w:t>.</w:t>
      </w:r>
    </w:p>
    <w:tbl>
      <w:tblPr>
        <w:tblStyle w:val="TableGrid"/>
        <w:tblW w:w="0" w:type="auto"/>
        <w:tblLook w:val="04A0" w:firstRow="1" w:lastRow="0" w:firstColumn="1" w:lastColumn="0" w:noHBand="0" w:noVBand="1"/>
      </w:tblPr>
      <w:tblGrid>
        <w:gridCol w:w="2830"/>
        <w:gridCol w:w="6186"/>
      </w:tblGrid>
      <w:tr w:rsidR="005E21D3" w:rsidRPr="005E21D3" w14:paraId="51DD5DD1" w14:textId="77777777" w:rsidTr="00F564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gridSpan w:val="2"/>
          </w:tcPr>
          <w:p w14:paraId="4FC84A76" w14:textId="18142CCC" w:rsidR="005E21D3" w:rsidRPr="005E21D3" w:rsidRDefault="005E21D3" w:rsidP="005E21D3">
            <w:pPr>
              <w:pStyle w:val="HUDBody"/>
              <w:rPr>
                <w:bCs/>
              </w:rPr>
            </w:pPr>
            <w:r w:rsidRPr="005E21D3">
              <w:rPr>
                <w:bCs/>
              </w:rPr>
              <w:t xml:space="preserve">Provider </w:t>
            </w:r>
            <w:r w:rsidR="000A7333">
              <w:rPr>
                <w:bCs/>
              </w:rPr>
              <w:t>r</w:t>
            </w:r>
            <w:r w:rsidRPr="005E21D3">
              <w:rPr>
                <w:bCs/>
              </w:rPr>
              <w:t xml:space="preserve">eport for </w:t>
            </w:r>
            <w:r w:rsidR="000A7333">
              <w:rPr>
                <w:bCs/>
              </w:rPr>
              <w:t>c</w:t>
            </w:r>
            <w:r w:rsidRPr="005E21D3">
              <w:rPr>
                <w:bCs/>
              </w:rPr>
              <w:t>lass 2 (</w:t>
            </w:r>
            <w:r w:rsidR="000A7333">
              <w:rPr>
                <w:bCs/>
              </w:rPr>
              <w:t>h</w:t>
            </w:r>
            <w:r w:rsidRPr="005E21D3">
              <w:rPr>
                <w:bCs/>
              </w:rPr>
              <w:t>igh</w:t>
            </w:r>
            <w:r w:rsidR="000A7333">
              <w:rPr>
                <w:bCs/>
              </w:rPr>
              <w:t xml:space="preserve"> or e</w:t>
            </w:r>
            <w:r w:rsidRPr="005E21D3">
              <w:rPr>
                <w:bCs/>
              </w:rPr>
              <w:t xml:space="preserve">xtreme) </w:t>
            </w:r>
            <w:r w:rsidR="000A7333">
              <w:rPr>
                <w:bCs/>
              </w:rPr>
              <w:t>i</w:t>
            </w:r>
            <w:r w:rsidRPr="005E21D3">
              <w:rPr>
                <w:bCs/>
              </w:rPr>
              <w:t xml:space="preserve">ncident and </w:t>
            </w:r>
            <w:r w:rsidR="000A7333">
              <w:rPr>
                <w:bCs/>
              </w:rPr>
              <w:t>e</w:t>
            </w:r>
            <w:r w:rsidRPr="005E21D3">
              <w:rPr>
                <w:bCs/>
              </w:rPr>
              <w:t>vent</w:t>
            </w:r>
          </w:p>
        </w:tc>
      </w:tr>
      <w:tr w:rsidR="005E21D3" w:rsidRPr="005E21D3" w14:paraId="22C6D643"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346509AC" w14:textId="0AC736FD" w:rsidR="005E21D3" w:rsidRPr="005E21D3" w:rsidRDefault="005E21D3" w:rsidP="005E21D3">
            <w:pPr>
              <w:pStyle w:val="HUDBody"/>
              <w:rPr>
                <w:bCs/>
              </w:rPr>
            </w:pPr>
            <w:r w:rsidRPr="005E21D3">
              <w:rPr>
                <w:bCs/>
              </w:rPr>
              <w:t xml:space="preserve">Provider </w:t>
            </w:r>
            <w:r w:rsidR="000A7333">
              <w:rPr>
                <w:bCs/>
              </w:rPr>
              <w:t>r</w:t>
            </w:r>
            <w:r w:rsidRPr="005E21D3">
              <w:rPr>
                <w:bCs/>
              </w:rPr>
              <w:t xml:space="preserve">eference </w:t>
            </w:r>
            <w:r w:rsidR="000A7333">
              <w:rPr>
                <w:bCs/>
              </w:rPr>
              <w:t>n</w:t>
            </w:r>
            <w:r w:rsidRPr="005E21D3">
              <w:rPr>
                <w:bCs/>
              </w:rPr>
              <w:t>umber:</w:t>
            </w:r>
          </w:p>
        </w:tc>
        <w:tc>
          <w:tcPr>
            <w:tcW w:w="6186" w:type="dxa"/>
          </w:tcPr>
          <w:p w14:paraId="2330D0CC"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The incident reference number generated by the provider</w:t>
            </w:r>
          </w:p>
        </w:tc>
      </w:tr>
      <w:tr w:rsidR="005E21D3" w:rsidRPr="005E21D3" w14:paraId="0B3D695C"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41168C00" w14:textId="542A9F54" w:rsidR="005E21D3" w:rsidRPr="005E21D3" w:rsidRDefault="005E21D3" w:rsidP="005E21D3">
            <w:pPr>
              <w:pStyle w:val="HUDBody"/>
            </w:pPr>
            <w:r w:rsidRPr="005E21D3">
              <w:t xml:space="preserve">Date of </w:t>
            </w:r>
            <w:r w:rsidR="000A7333">
              <w:t>i</w:t>
            </w:r>
            <w:r w:rsidRPr="005E21D3">
              <w:t>ncident</w:t>
            </w:r>
            <w:r w:rsidR="000A7333">
              <w:t xml:space="preserve"> or e</w:t>
            </w:r>
            <w:r w:rsidRPr="005E21D3">
              <w:t>vent</w:t>
            </w:r>
            <w:r w:rsidR="00F315B8">
              <w:t>:</w:t>
            </w:r>
          </w:p>
        </w:tc>
        <w:tc>
          <w:tcPr>
            <w:tcW w:w="6186" w:type="dxa"/>
          </w:tcPr>
          <w:p w14:paraId="1905B6AA"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Date incident or event occurred</w:t>
            </w:r>
          </w:p>
        </w:tc>
      </w:tr>
      <w:tr w:rsidR="005E21D3" w:rsidRPr="005E21D3" w14:paraId="71708548"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4DFF9A7B" w14:textId="022F3C93" w:rsidR="005E21D3" w:rsidRPr="005E21D3" w:rsidRDefault="005E21D3" w:rsidP="005E21D3">
            <w:pPr>
              <w:pStyle w:val="HUDBody"/>
            </w:pPr>
            <w:r w:rsidRPr="005E21D3">
              <w:t xml:space="preserve">Date </w:t>
            </w:r>
            <w:r w:rsidR="000A7333">
              <w:t>Te Tūāpapa Kura Kāinga</w:t>
            </w:r>
            <w:r w:rsidR="000A7333" w:rsidRPr="005E21D3">
              <w:t xml:space="preserve"> </w:t>
            </w:r>
            <w:r w:rsidRPr="005E21D3">
              <w:t>was first notified of the issue</w:t>
            </w:r>
            <w:r w:rsidR="00F315B8">
              <w:t>:</w:t>
            </w:r>
          </w:p>
        </w:tc>
        <w:tc>
          <w:tcPr>
            <w:tcW w:w="6186" w:type="dxa"/>
          </w:tcPr>
          <w:p w14:paraId="61D63307" w14:textId="69338BD2"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This date should ideally match the date of occurrence</w:t>
            </w:r>
            <w:r w:rsidR="000A7333">
              <w:t>. I</w:t>
            </w:r>
            <w:r w:rsidRPr="005E21D3">
              <w:t xml:space="preserve">f not, include details of the reason for the delay </w:t>
            </w:r>
          </w:p>
        </w:tc>
      </w:tr>
      <w:tr w:rsidR="005E21D3" w:rsidRPr="005E21D3" w14:paraId="3EB4BF11"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04B61106" w14:textId="2B373B80" w:rsidR="005E21D3" w:rsidRPr="005E21D3" w:rsidRDefault="005E21D3" w:rsidP="005E21D3">
            <w:pPr>
              <w:pStyle w:val="HUDBody"/>
            </w:pPr>
            <w:r w:rsidRPr="005E21D3">
              <w:t>Address of place and region</w:t>
            </w:r>
            <w:r w:rsidR="00F315B8">
              <w:t>:</w:t>
            </w:r>
          </w:p>
        </w:tc>
        <w:tc>
          <w:tcPr>
            <w:tcW w:w="6186" w:type="dxa"/>
          </w:tcPr>
          <w:p w14:paraId="57B7BC04" w14:textId="7987EEE0"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Address applicable if incident occurred in a contracted transitional housing property or transitional housing motel</w:t>
            </w:r>
          </w:p>
        </w:tc>
      </w:tr>
      <w:tr w:rsidR="005E21D3" w:rsidRPr="005E21D3" w14:paraId="6A139F74"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3712D24F" w14:textId="566A2487" w:rsidR="005E21D3" w:rsidRPr="005E21D3" w:rsidRDefault="005E21D3" w:rsidP="005E21D3">
            <w:pPr>
              <w:pStyle w:val="HUDBody"/>
            </w:pPr>
            <w:r w:rsidRPr="005E21D3">
              <w:t>Name of provider organisation</w:t>
            </w:r>
            <w:r w:rsidR="00F315B8">
              <w:t>:</w:t>
            </w:r>
          </w:p>
        </w:tc>
        <w:tc>
          <w:tcPr>
            <w:tcW w:w="6186" w:type="dxa"/>
          </w:tcPr>
          <w:p w14:paraId="681AE016"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Your organisation name</w:t>
            </w:r>
          </w:p>
        </w:tc>
      </w:tr>
      <w:tr w:rsidR="005E21D3" w:rsidRPr="005E21D3" w14:paraId="5B9F661B"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0DD921D3" w14:textId="791D3F91" w:rsidR="005E21D3" w:rsidRPr="005E21D3" w:rsidRDefault="005E21D3" w:rsidP="005E21D3">
            <w:pPr>
              <w:pStyle w:val="HUDBody"/>
              <w:rPr>
                <w:bCs/>
              </w:rPr>
            </w:pPr>
            <w:r w:rsidRPr="005E21D3">
              <w:rPr>
                <w:bCs/>
              </w:rPr>
              <w:t>Service type</w:t>
            </w:r>
            <w:r w:rsidR="00F315B8">
              <w:rPr>
                <w:bCs/>
              </w:rPr>
              <w:t>:</w:t>
            </w:r>
            <w:r w:rsidRPr="005E21D3">
              <w:rPr>
                <w:bCs/>
              </w:rPr>
              <w:t xml:space="preserve"> </w:t>
            </w:r>
          </w:p>
        </w:tc>
        <w:tc>
          <w:tcPr>
            <w:tcW w:w="6186" w:type="dxa"/>
          </w:tcPr>
          <w:p w14:paraId="5DF358B8"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For example, transitional housing property or transitional housing motel</w:t>
            </w:r>
          </w:p>
        </w:tc>
      </w:tr>
      <w:tr w:rsidR="005E21D3" w:rsidRPr="005E21D3" w14:paraId="2C1AA933"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9016" w:type="dxa"/>
            <w:gridSpan w:val="2"/>
          </w:tcPr>
          <w:p w14:paraId="0D1CFCCB" w14:textId="6EE3F451" w:rsidR="005E21D3" w:rsidRPr="005E21D3" w:rsidRDefault="005E21D3" w:rsidP="005E21D3">
            <w:pPr>
              <w:pStyle w:val="HUDBody"/>
              <w:rPr>
                <w:bCs/>
              </w:rPr>
            </w:pPr>
            <w:r w:rsidRPr="005E21D3">
              <w:rPr>
                <w:bCs/>
              </w:rPr>
              <w:t xml:space="preserve">Incident </w:t>
            </w:r>
            <w:r w:rsidR="000A7333">
              <w:rPr>
                <w:bCs/>
              </w:rPr>
              <w:t>d</w:t>
            </w:r>
            <w:r w:rsidRPr="005E21D3">
              <w:rPr>
                <w:bCs/>
              </w:rPr>
              <w:t>etails</w:t>
            </w:r>
          </w:p>
        </w:tc>
      </w:tr>
      <w:tr w:rsidR="005E21D3" w:rsidRPr="005E21D3" w14:paraId="05A75046"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5D9DEE0" w14:textId="5423D574" w:rsidR="005E21D3" w:rsidRPr="005E21D3" w:rsidRDefault="005E21D3" w:rsidP="005E21D3">
            <w:pPr>
              <w:pStyle w:val="HUDBody"/>
              <w:rPr>
                <w:bCs/>
              </w:rPr>
            </w:pPr>
            <w:r w:rsidRPr="005E21D3">
              <w:rPr>
                <w:bCs/>
              </w:rPr>
              <w:t>Background and cause of the incident</w:t>
            </w:r>
            <w:r w:rsidR="00F315B8">
              <w:rPr>
                <w:bCs/>
              </w:rPr>
              <w:t>:</w:t>
            </w:r>
          </w:p>
        </w:tc>
        <w:tc>
          <w:tcPr>
            <w:tcW w:w="6186" w:type="dxa"/>
          </w:tcPr>
          <w:p w14:paraId="6247E694" w14:textId="173835FF"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Household composition (</w:t>
            </w:r>
            <w:r w:rsidR="000A7333">
              <w:t>for example</w:t>
            </w:r>
            <w:r w:rsidRPr="005E21D3">
              <w:t xml:space="preserve">, single male, couple with </w:t>
            </w:r>
            <w:r w:rsidR="000A7333">
              <w:t>three</w:t>
            </w:r>
            <w:r w:rsidRPr="005E21D3">
              <w:t xml:space="preserve"> children) without names</w:t>
            </w:r>
          </w:p>
          <w:p w14:paraId="7B65A63C"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General circumstances leading to the incident</w:t>
            </w:r>
          </w:p>
        </w:tc>
      </w:tr>
      <w:tr w:rsidR="005E21D3" w:rsidRPr="005E21D3" w14:paraId="185F0A75"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EBF464C" w14:textId="68CEB1F6" w:rsidR="005E21D3" w:rsidRPr="005E21D3" w:rsidRDefault="005E21D3" w:rsidP="005E21D3">
            <w:pPr>
              <w:pStyle w:val="HUDBody"/>
              <w:rPr>
                <w:b w:val="0"/>
              </w:rPr>
            </w:pPr>
            <w:r w:rsidRPr="005E21D3">
              <w:rPr>
                <w:bCs/>
              </w:rPr>
              <w:t>Details of the incident</w:t>
            </w:r>
            <w:r w:rsidR="00F315B8">
              <w:rPr>
                <w:bCs/>
              </w:rPr>
              <w:t>:</w:t>
            </w:r>
          </w:p>
        </w:tc>
        <w:tc>
          <w:tcPr>
            <w:tcW w:w="6186" w:type="dxa"/>
          </w:tcPr>
          <w:p w14:paraId="0AF8CCA5" w14:textId="627C3108"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Emergency services involvement (Police, ambulance, etc) and their actions</w:t>
            </w:r>
          </w:p>
          <w:p w14:paraId="05CF9350" w14:textId="5171DEFD"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t>Current status of affected parties (medical treatment required</w:t>
            </w:r>
            <w:r w:rsidR="000A7333">
              <w:t xml:space="preserve"> or </w:t>
            </w:r>
            <w:r w:rsidRPr="005E21D3">
              <w:t>received)</w:t>
            </w:r>
          </w:p>
          <w:p w14:paraId="07530E7A" w14:textId="77777777" w:rsidR="005E21D3" w:rsidRPr="005E21D3" w:rsidRDefault="005E21D3" w:rsidP="005E21D3">
            <w:pPr>
              <w:pStyle w:val="HUDBody"/>
              <w:cnfStyle w:val="000000000000" w:firstRow="0" w:lastRow="0" w:firstColumn="0" w:lastColumn="0" w:oddVBand="0" w:evenVBand="0" w:oddHBand="0" w:evenHBand="0" w:firstRowFirstColumn="0" w:firstRowLastColumn="0" w:lastRowFirstColumn="0" w:lastRowLastColumn="0"/>
            </w:pPr>
            <w:r w:rsidRPr="005E21D3">
              <w:lastRenderedPageBreak/>
              <w:t>Type of wrap-around services provided to those involved</w:t>
            </w:r>
          </w:p>
        </w:tc>
      </w:tr>
      <w:tr w:rsidR="005E21D3" w:rsidRPr="005E21D3" w14:paraId="6BF3A208"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120DD75" w14:textId="5FBA6585" w:rsidR="005E21D3" w:rsidRPr="005E21D3" w:rsidRDefault="005E21D3" w:rsidP="005E21D3">
            <w:pPr>
              <w:pStyle w:val="HUDBody"/>
            </w:pPr>
            <w:r w:rsidRPr="005E21D3">
              <w:lastRenderedPageBreak/>
              <w:t>Current status of involved parties</w:t>
            </w:r>
            <w:r w:rsidR="00F315B8">
              <w:t>:</w:t>
            </w:r>
          </w:p>
        </w:tc>
        <w:tc>
          <w:tcPr>
            <w:tcW w:w="6186" w:type="dxa"/>
          </w:tcPr>
          <w:p w14:paraId="34DC98C3"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Whether they remain in the service</w:t>
            </w:r>
          </w:p>
          <w:p w14:paraId="0DDD40B7"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If an exit occurred, reasons and alternative accommodation arrangements</w:t>
            </w:r>
          </w:p>
          <w:p w14:paraId="7C087814"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For health-related issues (including mental health or addiction), current support from health providers</w:t>
            </w:r>
          </w:p>
        </w:tc>
      </w:tr>
      <w:tr w:rsidR="005E21D3" w:rsidRPr="005E21D3" w14:paraId="6E90E2FF" w14:textId="77777777" w:rsidTr="00F564C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C9BF607" w14:textId="4098A77E" w:rsidR="005E21D3" w:rsidRPr="005E21D3" w:rsidRDefault="005E21D3" w:rsidP="005E21D3">
            <w:pPr>
              <w:pStyle w:val="HUDBody"/>
            </w:pPr>
            <w:r w:rsidRPr="005E21D3">
              <w:t>Risk mitigation measures</w:t>
            </w:r>
            <w:r w:rsidR="00F315B8">
              <w:t>:</w:t>
            </w:r>
          </w:p>
        </w:tc>
        <w:tc>
          <w:tcPr>
            <w:tcW w:w="6186" w:type="dxa"/>
          </w:tcPr>
          <w:p w14:paraId="063A64C1"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Steps taken to address the immediate situation</w:t>
            </w:r>
          </w:p>
          <w:p w14:paraId="0937FD7C"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Measures implemented to prevent recurrence</w:t>
            </w:r>
          </w:p>
          <w:p w14:paraId="44042875"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Follow-up safety plan details</w:t>
            </w:r>
          </w:p>
        </w:tc>
      </w:tr>
      <w:tr w:rsidR="005E21D3" w:rsidRPr="005E21D3" w14:paraId="605A9687" w14:textId="77777777" w:rsidTr="00F564CD">
        <w:tc>
          <w:tcPr>
            <w:cnfStyle w:val="001000000000" w:firstRow="0" w:lastRow="0" w:firstColumn="1" w:lastColumn="0" w:oddVBand="0" w:evenVBand="0" w:oddHBand="0" w:evenHBand="0" w:firstRowFirstColumn="0" w:firstRowLastColumn="0" w:lastRowFirstColumn="0" w:lastRowLastColumn="0"/>
            <w:tcW w:w="2830" w:type="dxa"/>
          </w:tcPr>
          <w:p w14:paraId="47615050" w14:textId="18847D02" w:rsidR="005E21D3" w:rsidRPr="005E21D3" w:rsidRDefault="005E21D3" w:rsidP="005E21D3">
            <w:pPr>
              <w:pStyle w:val="HUDBody"/>
            </w:pPr>
            <w:r w:rsidRPr="005E21D3">
              <w:t>Next steps and follow-up</w:t>
            </w:r>
            <w:r w:rsidR="00F315B8">
              <w:t>:</w:t>
            </w:r>
          </w:p>
        </w:tc>
        <w:tc>
          <w:tcPr>
            <w:tcW w:w="6186" w:type="dxa"/>
          </w:tcPr>
          <w:p w14:paraId="7B52FAAE" w14:textId="2DBC7B30"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 xml:space="preserve">Actions required from the provider, </w:t>
            </w:r>
            <w:r w:rsidR="000A7333">
              <w:t>Te Tūāpapa Kura Kāinga</w:t>
            </w:r>
            <w:r w:rsidRPr="005E21D3">
              <w:t>, or other parties</w:t>
            </w:r>
          </w:p>
          <w:p w14:paraId="3967DB73" w14:textId="77777777" w:rsidR="005E21D3" w:rsidRPr="005E21D3" w:rsidRDefault="005E21D3" w:rsidP="005E21D3">
            <w:pPr>
              <w:pStyle w:val="HUDBody"/>
              <w:numPr>
                <w:ilvl w:val="0"/>
                <w:numId w:val="3"/>
              </w:numPr>
              <w:cnfStyle w:val="000000000000" w:firstRow="0" w:lastRow="0" w:firstColumn="0" w:lastColumn="0" w:oddVBand="0" w:evenVBand="0" w:oddHBand="0" w:evenHBand="0" w:firstRowFirstColumn="0" w:firstRowLastColumn="0" w:lastRowFirstColumn="0" w:lastRowLastColumn="0"/>
            </w:pPr>
            <w:r w:rsidRPr="005E21D3">
              <w:t>Timeframes for completion</w:t>
            </w:r>
          </w:p>
        </w:tc>
      </w:tr>
    </w:tbl>
    <w:p w14:paraId="7BA65E26" w14:textId="44A536ED" w:rsidR="005E21D3" w:rsidRDefault="005E21D3" w:rsidP="005E21D3">
      <w:pPr>
        <w:pStyle w:val="HUDBody"/>
      </w:pPr>
    </w:p>
    <w:p w14:paraId="1138EE74" w14:textId="77777777" w:rsidR="005E21D3" w:rsidRDefault="005E21D3">
      <w:pPr>
        <w:spacing w:after="160" w:line="278" w:lineRule="auto"/>
        <w:rPr>
          <w:szCs w:val="24"/>
        </w:rPr>
      </w:pPr>
      <w:r>
        <w:br w:type="page"/>
      </w:r>
    </w:p>
    <w:p w14:paraId="08E141C7" w14:textId="29636F22" w:rsidR="005E21D3" w:rsidRDefault="005E21D3" w:rsidP="005E21D3">
      <w:pPr>
        <w:pStyle w:val="HUDHeading1"/>
      </w:pPr>
      <w:bookmarkStart w:id="98" w:name="AP5"/>
      <w:bookmarkStart w:id="99" w:name="_Toc208995981"/>
      <w:bookmarkEnd w:id="98"/>
      <w:r>
        <w:lastRenderedPageBreak/>
        <w:t>Appendix 5: MSD business continuity plan</w:t>
      </w:r>
      <w:bookmarkEnd w:id="99"/>
    </w:p>
    <w:p w14:paraId="1390073A" w14:textId="0DDA697F" w:rsidR="005E21D3" w:rsidRDefault="005E21D3" w:rsidP="005E21D3">
      <w:pPr>
        <w:pStyle w:val="HUDBody"/>
      </w:pPr>
      <w:r>
        <w:t xml:space="preserve">This section details the MSD’s business continuity plan if </w:t>
      </w:r>
      <w:r w:rsidR="000A7333">
        <w:t xml:space="preserve">the </w:t>
      </w:r>
      <w:r>
        <w:t xml:space="preserve">THVM is unavailable. </w:t>
      </w:r>
    </w:p>
    <w:p w14:paraId="4F572AD7" w14:textId="1771F146" w:rsidR="005E21D3" w:rsidRDefault="005E21D3" w:rsidP="005E21D3">
      <w:pPr>
        <w:pStyle w:val="HUDBody"/>
      </w:pPr>
      <w:r>
        <w:t>MSD will advise you when the business continuity plan will be activated.</w:t>
      </w:r>
    </w:p>
    <w:p w14:paraId="27C38363" w14:textId="77777777" w:rsidR="005E21D3" w:rsidRPr="005E21D3" w:rsidRDefault="005E21D3" w:rsidP="005E21D3">
      <w:pPr>
        <w:pStyle w:val="HUDHeading2"/>
      </w:pPr>
      <w:bookmarkStart w:id="100" w:name="_Toc202795724"/>
      <w:bookmarkStart w:id="101" w:name="_Toc208995982"/>
      <w:r w:rsidRPr="005E21D3">
        <w:t>Business continuity process</w:t>
      </w:r>
      <w:bookmarkEnd w:id="100"/>
      <w:bookmarkEnd w:id="101"/>
    </w:p>
    <w:p w14:paraId="658BE570" w14:textId="77777777" w:rsidR="000A7333" w:rsidRDefault="005E21D3" w:rsidP="005E21D3">
      <w:pPr>
        <w:pStyle w:val="HUDBody"/>
      </w:pPr>
      <w:r w:rsidRPr="005E21D3">
        <w:t xml:space="preserve">The process outlines the method of exchanging information, not the information to be exchanged. </w:t>
      </w:r>
    </w:p>
    <w:p w14:paraId="12942F48" w14:textId="1CC406B6" w:rsidR="005E21D3" w:rsidRPr="005E21D3" w:rsidRDefault="005E21D3" w:rsidP="005E21D3">
      <w:pPr>
        <w:pStyle w:val="HUDBody"/>
      </w:pPr>
      <w:r w:rsidRPr="005E21D3">
        <w:t xml:space="preserve">If </w:t>
      </w:r>
      <w:r w:rsidR="000A7333">
        <w:t xml:space="preserve">the </w:t>
      </w:r>
      <w:r w:rsidRPr="005E21D3">
        <w:t xml:space="preserve">THVM is unavailable for an extended period, </w:t>
      </w:r>
      <w:r w:rsidR="000A7333">
        <w:t>we</w:t>
      </w:r>
      <w:r w:rsidR="000A7333" w:rsidRPr="005E21D3">
        <w:t xml:space="preserve"> </w:t>
      </w:r>
      <w:r w:rsidRPr="005E21D3">
        <w:t xml:space="preserve">may request monthly occupancy reporting from you. </w:t>
      </w:r>
      <w:r w:rsidR="000A7333">
        <w:t>Your Relationship Manager will</w:t>
      </w:r>
      <w:r w:rsidRPr="005E21D3">
        <w:t xml:space="preserve"> provide you with access to a secure file sharing portal know</w:t>
      </w:r>
      <w:r w:rsidR="000A7333">
        <w:t>n</w:t>
      </w:r>
      <w:r w:rsidRPr="005E21D3">
        <w:t xml:space="preserve"> as Kahu. </w:t>
      </w:r>
    </w:p>
    <w:p w14:paraId="59E6871D" w14:textId="77777777" w:rsidR="005E21D3" w:rsidRPr="005E21D3" w:rsidRDefault="005E21D3" w:rsidP="005E21D3">
      <w:pPr>
        <w:pStyle w:val="HUDHeading2"/>
        <w:rPr>
          <w:i/>
        </w:rPr>
      </w:pPr>
      <w:bookmarkStart w:id="102" w:name="_Toc202795725"/>
      <w:bookmarkStart w:id="103" w:name="_Toc208995983"/>
      <w:r w:rsidRPr="005E21D3">
        <w:t>Iron key process</w:t>
      </w:r>
      <w:bookmarkEnd w:id="102"/>
      <w:bookmarkEnd w:id="103"/>
    </w:p>
    <w:p w14:paraId="7BDA58F2" w14:textId="77777777" w:rsidR="005E21D3" w:rsidRPr="005E21D3" w:rsidRDefault="005E21D3" w:rsidP="005E21D3">
      <w:pPr>
        <w:pStyle w:val="HUDBody"/>
      </w:pPr>
      <w:r w:rsidRPr="005E21D3">
        <w:t xml:space="preserve">If MSD notifies you that the business continuity process has been put in place and the iron key process will be used, they will also advise you the name and contact details of your local ‘iron key runner’.  </w:t>
      </w:r>
    </w:p>
    <w:p w14:paraId="02932DF6" w14:textId="77777777" w:rsidR="005E21D3" w:rsidRPr="005E21D3" w:rsidRDefault="005E21D3" w:rsidP="005E21D3">
      <w:pPr>
        <w:pStyle w:val="HUDBody"/>
      </w:pPr>
      <w:r w:rsidRPr="005E21D3">
        <w:t>This means that the nominated person will come to you to download and upload all forms related to:</w:t>
      </w:r>
    </w:p>
    <w:p w14:paraId="6356D529" w14:textId="342BB365" w:rsidR="005E21D3" w:rsidRPr="005E21D3" w:rsidRDefault="000A7333" w:rsidP="003639BD">
      <w:pPr>
        <w:pStyle w:val="HUDBullets"/>
      </w:pPr>
      <w:r>
        <w:t>s</w:t>
      </w:r>
      <w:r w:rsidR="005E21D3" w:rsidRPr="005E21D3">
        <w:t>uccessful referrals to your service</w:t>
      </w:r>
    </w:p>
    <w:p w14:paraId="153C78D7" w14:textId="0B8DF838" w:rsidR="005E21D3" w:rsidRPr="005E21D3" w:rsidRDefault="000A7333" w:rsidP="003639BD">
      <w:pPr>
        <w:pStyle w:val="HUDBullets"/>
      </w:pPr>
      <w:r>
        <w:t>a</w:t>
      </w:r>
      <w:r w:rsidR="005E21D3" w:rsidRPr="005E21D3">
        <w:t>ny monthly reporting that may be due.</w:t>
      </w:r>
    </w:p>
    <w:p w14:paraId="4BF48CA6" w14:textId="3ED1E016" w:rsidR="005E21D3" w:rsidRPr="005E21D3" w:rsidRDefault="005E21D3" w:rsidP="005E21D3">
      <w:pPr>
        <w:pStyle w:val="HUDBody"/>
      </w:pPr>
      <w:r w:rsidRPr="005E21D3">
        <w:t>Under no circumstances can any client information, forms or templates be emailed. When you have information ready to be collected, telephone your MSD nominated person and arrange a time for collection. This person will then come to your office, download the information to the iron key and take it back to the local office where they will complete any action on the client’s records or on send the information to the MSD contact person. If information needs to come back to you, the nominated MSD contact person will email it to the ‘iron key runner’ who will contact you and arrange a time to deliver it to you. They will then download the information on to your system.</w:t>
      </w:r>
    </w:p>
    <w:p w14:paraId="7FC48D26" w14:textId="68BAC060" w:rsidR="005E21D3" w:rsidRPr="005E21D3" w:rsidRDefault="005E21D3" w:rsidP="005E21D3">
      <w:pPr>
        <w:pStyle w:val="HUDBody"/>
      </w:pPr>
      <w:r w:rsidRPr="005E21D3">
        <w:t xml:space="preserve">This process will continue only until the THVM issue is resolved. MSD will advise you when to </w:t>
      </w:r>
      <w:r w:rsidR="000A7333">
        <w:t>return</w:t>
      </w:r>
      <w:r w:rsidR="000A7333" w:rsidRPr="005E21D3">
        <w:t xml:space="preserve"> </w:t>
      </w:r>
      <w:r w:rsidRPr="005E21D3">
        <w:t>to business-as-usual.</w:t>
      </w:r>
    </w:p>
    <w:p w14:paraId="3267EAA2" w14:textId="5F7308DA" w:rsidR="005E21D3" w:rsidRPr="005E21D3" w:rsidRDefault="005E21D3" w:rsidP="005E21D3">
      <w:pPr>
        <w:pStyle w:val="HUDBody"/>
      </w:pPr>
      <w:r w:rsidRPr="005E21D3">
        <w:t>If you have any concerns about moving to the MSD business continuity plan, contact the MSD contact person or your Senior Advisor</w:t>
      </w:r>
      <w:r w:rsidR="000A7333">
        <w:t xml:space="preserve"> at Te Tūāpapa Kura Kāinga</w:t>
      </w:r>
      <w:r w:rsidRPr="005E21D3">
        <w:t>.</w:t>
      </w:r>
    </w:p>
    <w:p w14:paraId="07A50D2B" w14:textId="77777777" w:rsidR="005E21D3" w:rsidRDefault="005E21D3" w:rsidP="005E21D3">
      <w:pPr>
        <w:pStyle w:val="HUDBody"/>
        <w:sectPr w:rsidR="005E21D3" w:rsidSect="0038005D">
          <w:footerReference w:type="even" r:id="rId59"/>
          <w:footerReference w:type="default" r:id="rId60"/>
          <w:headerReference w:type="first" r:id="rId61"/>
          <w:footerReference w:type="first" r:id="rId62"/>
          <w:pgSz w:w="11906" w:h="16838"/>
          <w:pgMar w:top="1440" w:right="1440" w:bottom="1440" w:left="1440" w:header="708" w:footer="708" w:gutter="0"/>
          <w:cols w:space="708"/>
          <w:titlePg/>
          <w:docGrid w:linePitch="360"/>
        </w:sectPr>
      </w:pPr>
    </w:p>
    <w:p w14:paraId="39EB8148" w14:textId="5B277533" w:rsidR="005E21D3" w:rsidRDefault="005E21D3" w:rsidP="005E21D3">
      <w:pPr>
        <w:pStyle w:val="HUDHeading1"/>
      </w:pPr>
      <w:bookmarkStart w:id="104" w:name="AP6"/>
      <w:bookmarkStart w:id="105" w:name="_Toc208995984"/>
      <w:bookmarkEnd w:id="104"/>
      <w:r>
        <w:lastRenderedPageBreak/>
        <w:t xml:space="preserve">Appendix 6: Contribution amounts for beneficiaries </w:t>
      </w:r>
      <w:r w:rsidR="00F315B8">
        <w:t xml:space="preserve">from </w:t>
      </w:r>
      <w:r>
        <w:t>1 April 2025</w:t>
      </w:r>
      <w:bookmarkEnd w:id="105"/>
    </w:p>
    <w:p w14:paraId="16F82E23" w14:textId="0386584D" w:rsidR="005E21D3" w:rsidRDefault="005E21D3" w:rsidP="005E21D3">
      <w:pPr>
        <w:pStyle w:val="HUDBody"/>
      </w:pPr>
      <w:r>
        <w:t>The contribution amounts in this table are calculated using</w:t>
      </w:r>
      <w:r w:rsidR="000A7333">
        <w:t xml:space="preserve"> 25 percent of</w:t>
      </w:r>
      <w:r>
        <w:t>:</w:t>
      </w:r>
    </w:p>
    <w:p w14:paraId="4A0EC57D" w14:textId="2989B623" w:rsidR="005E21D3" w:rsidRDefault="005E21D3" w:rsidP="005E21D3">
      <w:pPr>
        <w:pStyle w:val="HUDBullets"/>
      </w:pPr>
      <w:r>
        <w:t>the most applicable main benefit or New Zealand Superannuation net rate</w:t>
      </w:r>
    </w:p>
    <w:p w14:paraId="667D95EB" w14:textId="7BA40A61" w:rsidR="005E21D3" w:rsidRDefault="005E21D3" w:rsidP="005E21D3">
      <w:pPr>
        <w:pStyle w:val="HUDBullets"/>
      </w:pPr>
      <w:r>
        <w:t xml:space="preserve">the </w:t>
      </w:r>
      <w:r w:rsidR="00F315B8">
        <w:t>f</w:t>
      </w:r>
      <w:r>
        <w:t xml:space="preserve">amily </w:t>
      </w:r>
      <w:r w:rsidR="00F315B8">
        <w:t>t</w:t>
      </w:r>
      <w:r>
        <w:t xml:space="preserve">ax </w:t>
      </w:r>
      <w:r w:rsidR="00F315B8">
        <w:t>c</w:t>
      </w:r>
      <w:r>
        <w:t>redit category 'first or only child, 0</w:t>
      </w:r>
      <w:r w:rsidR="0063239D">
        <w:t>–</w:t>
      </w:r>
      <w:r>
        <w:t>15 years.</w:t>
      </w:r>
    </w:p>
    <w:tbl>
      <w:tblPr>
        <w:tblW w:w="13977" w:type="dxa"/>
        <w:jc w:val="center"/>
        <w:tblCellMar>
          <w:left w:w="0" w:type="dxa"/>
          <w:right w:w="0" w:type="dxa"/>
        </w:tblCellMar>
        <w:tblLook w:val="04A0" w:firstRow="1" w:lastRow="0" w:firstColumn="1" w:lastColumn="0" w:noHBand="0" w:noVBand="1"/>
      </w:tblPr>
      <w:tblGrid>
        <w:gridCol w:w="6750"/>
        <w:gridCol w:w="1890"/>
        <w:gridCol w:w="1440"/>
        <w:gridCol w:w="2196"/>
        <w:gridCol w:w="1701"/>
      </w:tblGrid>
      <w:tr w:rsidR="005E21D3" w:rsidRPr="005E21D3" w14:paraId="52ED2C7B" w14:textId="77777777" w:rsidTr="005E21D3">
        <w:trPr>
          <w:trHeight w:val="447"/>
          <w:tblHeader/>
          <w:jc w:val="center"/>
        </w:trPr>
        <w:tc>
          <w:tcPr>
            <w:tcW w:w="6750" w:type="dxa"/>
            <w:tcBorders>
              <w:top w:val="single" w:sz="4" w:space="0" w:color="auto"/>
              <w:left w:val="single" w:sz="4" w:space="0" w:color="auto"/>
              <w:bottom w:val="single" w:sz="4" w:space="0" w:color="auto"/>
              <w:right w:val="single" w:sz="4" w:space="0" w:color="auto"/>
            </w:tcBorders>
            <w:shd w:val="clear" w:color="auto" w:fill="E1E9EB"/>
            <w:tcMar>
              <w:top w:w="0" w:type="dxa"/>
              <w:left w:w="108" w:type="dxa"/>
              <w:bottom w:w="0" w:type="dxa"/>
              <w:right w:w="108" w:type="dxa"/>
            </w:tcMar>
            <w:vAlign w:val="center"/>
          </w:tcPr>
          <w:p w14:paraId="62CBD97A" w14:textId="5F2F2BBD" w:rsidR="005E21D3" w:rsidRPr="005E21D3" w:rsidRDefault="005E21D3" w:rsidP="005E21D3">
            <w:pPr>
              <w:pStyle w:val="HUDBody"/>
              <w:rPr>
                <w:b/>
              </w:rPr>
            </w:pPr>
            <w:r w:rsidRPr="005E21D3">
              <w:rPr>
                <w:b/>
              </w:rPr>
              <w:t xml:space="preserve">Household </w:t>
            </w:r>
            <w:r w:rsidR="0063239D">
              <w:rPr>
                <w:b/>
              </w:rPr>
              <w:t>t</w:t>
            </w:r>
            <w:r w:rsidRPr="005E21D3">
              <w:rPr>
                <w:b/>
              </w:rPr>
              <w:t>ype</w:t>
            </w:r>
          </w:p>
        </w:tc>
        <w:tc>
          <w:tcPr>
            <w:tcW w:w="1890" w:type="dxa"/>
            <w:tcBorders>
              <w:top w:val="single" w:sz="4" w:space="0" w:color="auto"/>
              <w:left w:val="single" w:sz="4" w:space="0" w:color="auto"/>
              <w:bottom w:val="single" w:sz="4" w:space="0" w:color="auto"/>
              <w:right w:val="single" w:sz="4" w:space="0" w:color="auto"/>
            </w:tcBorders>
            <w:shd w:val="clear" w:color="auto" w:fill="E1E9EB"/>
            <w:vAlign w:val="center"/>
          </w:tcPr>
          <w:p w14:paraId="416316C8" w14:textId="77777777" w:rsidR="005E21D3" w:rsidRPr="005E21D3" w:rsidRDefault="005E21D3" w:rsidP="005E21D3">
            <w:pPr>
              <w:pStyle w:val="HUDBody"/>
              <w:rPr>
                <w:b/>
                <w:bCs/>
              </w:rPr>
            </w:pPr>
            <w:r w:rsidRPr="005E21D3">
              <w:rPr>
                <w:b/>
                <w:bCs/>
              </w:rPr>
              <w:t>Income per week</w:t>
            </w:r>
          </w:p>
        </w:tc>
        <w:tc>
          <w:tcPr>
            <w:tcW w:w="1440" w:type="dxa"/>
            <w:tcBorders>
              <w:top w:val="single" w:sz="4" w:space="0" w:color="auto"/>
              <w:left w:val="single" w:sz="4" w:space="0" w:color="auto"/>
              <w:bottom w:val="single" w:sz="4" w:space="0" w:color="auto"/>
              <w:right w:val="single" w:sz="4" w:space="0" w:color="auto"/>
            </w:tcBorders>
            <w:shd w:val="clear" w:color="auto" w:fill="E1E9EB"/>
            <w:tcMar>
              <w:top w:w="0" w:type="dxa"/>
              <w:left w:w="108" w:type="dxa"/>
              <w:bottom w:w="0" w:type="dxa"/>
              <w:right w:w="108" w:type="dxa"/>
            </w:tcMar>
            <w:vAlign w:val="center"/>
          </w:tcPr>
          <w:p w14:paraId="116DBAFE" w14:textId="77777777" w:rsidR="005E21D3" w:rsidRPr="005E21D3" w:rsidRDefault="005E21D3" w:rsidP="005E21D3">
            <w:pPr>
              <w:pStyle w:val="HUDBody"/>
              <w:rPr>
                <w:b/>
                <w:bCs/>
              </w:rPr>
            </w:pPr>
            <w:r w:rsidRPr="005E21D3">
              <w:rPr>
                <w:b/>
                <w:bCs/>
              </w:rPr>
              <w:t>25% of benefit income</w:t>
            </w:r>
          </w:p>
        </w:tc>
        <w:tc>
          <w:tcPr>
            <w:tcW w:w="2196" w:type="dxa"/>
            <w:tcBorders>
              <w:top w:val="single" w:sz="4" w:space="0" w:color="auto"/>
              <w:left w:val="single" w:sz="4" w:space="0" w:color="auto"/>
              <w:bottom w:val="single" w:sz="4" w:space="0" w:color="auto"/>
              <w:right w:val="single" w:sz="4" w:space="0" w:color="auto"/>
            </w:tcBorders>
            <w:shd w:val="clear" w:color="auto" w:fill="E1E9EB"/>
            <w:vAlign w:val="center"/>
          </w:tcPr>
          <w:p w14:paraId="39AB6EED" w14:textId="21A40783" w:rsidR="005E21D3" w:rsidRPr="005E21D3" w:rsidRDefault="005E21D3" w:rsidP="005E21D3">
            <w:pPr>
              <w:pStyle w:val="HUDBody"/>
              <w:rPr>
                <w:b/>
                <w:bCs/>
              </w:rPr>
            </w:pPr>
            <w:r w:rsidRPr="005E21D3">
              <w:rPr>
                <w:b/>
                <w:bCs/>
              </w:rPr>
              <w:t xml:space="preserve">25% of </w:t>
            </w:r>
            <w:r w:rsidR="0063239D">
              <w:rPr>
                <w:b/>
                <w:bCs/>
              </w:rPr>
              <w:t>f</w:t>
            </w:r>
            <w:r w:rsidRPr="005E21D3">
              <w:rPr>
                <w:b/>
                <w:bCs/>
              </w:rPr>
              <w:t xml:space="preserve">amily </w:t>
            </w:r>
            <w:r w:rsidR="0063239D">
              <w:rPr>
                <w:b/>
                <w:bCs/>
              </w:rPr>
              <w:t>t</w:t>
            </w:r>
            <w:r w:rsidRPr="005E21D3">
              <w:rPr>
                <w:b/>
                <w:bCs/>
              </w:rPr>
              <w:t xml:space="preserve">ax </w:t>
            </w:r>
            <w:r w:rsidR="0063239D">
              <w:rPr>
                <w:b/>
                <w:bCs/>
              </w:rPr>
              <w:t>c</w:t>
            </w:r>
            <w:r w:rsidRPr="005E21D3">
              <w:rPr>
                <w:b/>
                <w:bCs/>
              </w:rPr>
              <w:t>redit payable</w:t>
            </w:r>
          </w:p>
        </w:tc>
        <w:tc>
          <w:tcPr>
            <w:tcW w:w="1701" w:type="dxa"/>
            <w:tcBorders>
              <w:top w:val="single" w:sz="4" w:space="0" w:color="auto"/>
              <w:left w:val="single" w:sz="4" w:space="0" w:color="auto"/>
              <w:bottom w:val="single" w:sz="4" w:space="0" w:color="auto"/>
              <w:right w:val="single" w:sz="4" w:space="0" w:color="auto"/>
            </w:tcBorders>
            <w:shd w:val="clear" w:color="auto" w:fill="E1E9EB"/>
            <w:vAlign w:val="center"/>
          </w:tcPr>
          <w:p w14:paraId="00CB4CF9" w14:textId="2CC0EAA2" w:rsidR="005E21D3" w:rsidRPr="005E21D3" w:rsidRDefault="005E21D3" w:rsidP="005E21D3">
            <w:pPr>
              <w:pStyle w:val="HUDBody"/>
              <w:rPr>
                <w:b/>
                <w:bCs/>
              </w:rPr>
            </w:pPr>
            <w:r w:rsidRPr="005E21D3">
              <w:rPr>
                <w:b/>
                <w:bCs/>
              </w:rPr>
              <w:t>Total contribution</w:t>
            </w:r>
            <w:r w:rsidR="00F315B8">
              <w:rPr>
                <w:b/>
                <w:bCs/>
              </w:rPr>
              <w:t xml:space="preserve"> amount</w:t>
            </w:r>
          </w:p>
          <w:p w14:paraId="12549BE4" w14:textId="7FF60B9C" w:rsidR="005E21D3" w:rsidRPr="005E21D3" w:rsidRDefault="005E21D3" w:rsidP="005E21D3">
            <w:pPr>
              <w:pStyle w:val="HUDBody"/>
              <w:rPr>
                <w:b/>
                <w:bCs/>
              </w:rPr>
            </w:pPr>
            <w:r w:rsidRPr="005E21D3">
              <w:rPr>
                <w:b/>
                <w:bCs/>
              </w:rPr>
              <w:t>(</w:t>
            </w:r>
            <w:r w:rsidR="0063239D">
              <w:rPr>
                <w:b/>
                <w:bCs/>
              </w:rPr>
              <w:t>r</w:t>
            </w:r>
            <w:r w:rsidRPr="005E21D3">
              <w:rPr>
                <w:b/>
                <w:bCs/>
              </w:rPr>
              <w:t>ounded down)</w:t>
            </w:r>
          </w:p>
        </w:tc>
      </w:tr>
      <w:tr w:rsidR="005E21D3" w:rsidRPr="005E21D3" w14:paraId="54A7BD64" w14:textId="77777777" w:rsidTr="003639BD">
        <w:trPr>
          <w:trHeight w:val="462"/>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047EE" w14:textId="49E58E55" w:rsidR="005E21D3" w:rsidRPr="005E21D3" w:rsidRDefault="005E21D3" w:rsidP="005E21D3">
            <w:pPr>
              <w:pStyle w:val="HUDBody"/>
              <w:rPr>
                <w:b/>
              </w:rPr>
            </w:pPr>
            <w:r w:rsidRPr="005E21D3">
              <w:t xml:space="preserve">Youth </w:t>
            </w:r>
            <w:r w:rsidR="0063239D">
              <w:t>p</w:t>
            </w:r>
            <w:r w:rsidRPr="005E21D3">
              <w:t xml:space="preserve">ayment – </w:t>
            </w:r>
            <w:r w:rsidR="0063239D">
              <w:t>s</w:t>
            </w:r>
            <w:r w:rsidRPr="005E21D3">
              <w:t>ingle young person, 16–17 years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24646482" w14:textId="77777777" w:rsidR="005E21D3" w:rsidRPr="005E21D3" w:rsidRDefault="005E21D3" w:rsidP="0063239D">
            <w:pPr>
              <w:pStyle w:val="HUDBody"/>
            </w:pPr>
            <w:r w:rsidRPr="005E21D3">
              <w:t>$314.72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08A32" w14:textId="77777777" w:rsidR="005E21D3" w:rsidRPr="005E21D3" w:rsidRDefault="005E21D3" w:rsidP="0063239D">
            <w:pPr>
              <w:pStyle w:val="HUDBody"/>
              <w:rPr>
                <w:b/>
              </w:rPr>
            </w:pPr>
            <w:r w:rsidRPr="005E21D3">
              <w:t>$78.68</w:t>
            </w:r>
          </w:p>
        </w:tc>
        <w:tc>
          <w:tcPr>
            <w:tcW w:w="2196" w:type="dxa"/>
            <w:tcBorders>
              <w:top w:val="single" w:sz="4" w:space="0" w:color="auto"/>
              <w:left w:val="single" w:sz="4" w:space="0" w:color="auto"/>
              <w:bottom w:val="single" w:sz="4" w:space="0" w:color="auto"/>
              <w:right w:val="single" w:sz="4" w:space="0" w:color="auto"/>
            </w:tcBorders>
            <w:vAlign w:val="center"/>
          </w:tcPr>
          <w:p w14:paraId="0A727822" w14:textId="77777777" w:rsidR="005E21D3" w:rsidRPr="005E21D3" w:rsidRDefault="005E21D3" w:rsidP="0063239D">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64776D44" w14:textId="77777777" w:rsidR="005E21D3" w:rsidRPr="005E21D3" w:rsidRDefault="005E21D3" w:rsidP="0063239D">
            <w:pPr>
              <w:pStyle w:val="HUDBody"/>
            </w:pPr>
            <w:r w:rsidRPr="005E21D3">
              <w:t>$78.00</w:t>
            </w:r>
          </w:p>
        </w:tc>
      </w:tr>
      <w:tr w:rsidR="005E21D3" w:rsidRPr="005E21D3" w14:paraId="3F40E61C" w14:textId="77777777" w:rsidTr="003639BD">
        <w:trPr>
          <w:trHeight w:val="447"/>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9908D" w14:textId="314BBAB2" w:rsidR="005E21D3" w:rsidRPr="005E21D3" w:rsidRDefault="005E21D3" w:rsidP="005E21D3">
            <w:pPr>
              <w:pStyle w:val="HUDBody"/>
            </w:pPr>
            <w:r w:rsidRPr="005E21D3">
              <w:t xml:space="preserve">Youth </w:t>
            </w:r>
            <w:r w:rsidR="0063239D">
              <w:t>p</w:t>
            </w:r>
            <w:r w:rsidRPr="005E21D3">
              <w:t xml:space="preserve">ayment – </w:t>
            </w:r>
            <w:r w:rsidR="0063239D">
              <w:t>m</w:t>
            </w:r>
            <w:r w:rsidRPr="005E21D3">
              <w:t xml:space="preserve">arried, civil union or de facto couple (without children) </w:t>
            </w:r>
          </w:p>
        </w:tc>
        <w:tc>
          <w:tcPr>
            <w:tcW w:w="1890" w:type="dxa"/>
            <w:tcBorders>
              <w:top w:val="single" w:sz="4" w:space="0" w:color="auto"/>
              <w:left w:val="single" w:sz="4" w:space="0" w:color="auto"/>
              <w:bottom w:val="single" w:sz="4" w:space="0" w:color="auto"/>
              <w:right w:val="single" w:sz="4" w:space="0" w:color="auto"/>
            </w:tcBorders>
            <w:vAlign w:val="center"/>
          </w:tcPr>
          <w:p w14:paraId="69CB4849" w14:textId="77777777" w:rsidR="005E21D3" w:rsidRPr="005E21D3" w:rsidRDefault="005E21D3" w:rsidP="0063239D">
            <w:pPr>
              <w:pStyle w:val="HUDBody"/>
            </w:pPr>
            <w:r w:rsidRPr="005E21D3">
              <w:t>$614.84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11B45" w14:textId="77777777" w:rsidR="005E21D3" w:rsidRPr="005E21D3" w:rsidRDefault="005E21D3" w:rsidP="0063239D">
            <w:pPr>
              <w:pStyle w:val="HUDBody"/>
            </w:pPr>
            <w:r w:rsidRPr="005E21D3">
              <w:t>$153.71</w:t>
            </w:r>
          </w:p>
        </w:tc>
        <w:tc>
          <w:tcPr>
            <w:tcW w:w="2196" w:type="dxa"/>
            <w:tcBorders>
              <w:top w:val="single" w:sz="4" w:space="0" w:color="auto"/>
              <w:left w:val="single" w:sz="4" w:space="0" w:color="auto"/>
              <w:bottom w:val="single" w:sz="4" w:space="0" w:color="auto"/>
              <w:right w:val="single" w:sz="4" w:space="0" w:color="auto"/>
            </w:tcBorders>
            <w:vAlign w:val="center"/>
          </w:tcPr>
          <w:p w14:paraId="5D9FFE7B" w14:textId="77777777" w:rsidR="005E21D3" w:rsidRPr="005E21D3" w:rsidRDefault="005E21D3" w:rsidP="0063239D">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5DF29B69" w14:textId="77777777" w:rsidR="005E21D3" w:rsidRPr="005E21D3" w:rsidRDefault="005E21D3" w:rsidP="0063239D">
            <w:pPr>
              <w:pStyle w:val="HUDBody"/>
            </w:pPr>
            <w:r w:rsidRPr="005E21D3">
              <w:t>$153.00</w:t>
            </w:r>
          </w:p>
        </w:tc>
      </w:tr>
      <w:tr w:rsidR="005E21D3" w:rsidRPr="005E21D3" w14:paraId="10597E2C" w14:textId="77777777" w:rsidTr="003639BD">
        <w:trPr>
          <w:trHeight w:val="447"/>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88748" w14:textId="2AEEB486" w:rsidR="005E21D3" w:rsidRPr="005E21D3" w:rsidRDefault="005E21D3" w:rsidP="005E21D3">
            <w:pPr>
              <w:pStyle w:val="HUDBody"/>
              <w:rPr>
                <w:b/>
              </w:rPr>
            </w:pPr>
            <w:r w:rsidRPr="005E21D3">
              <w:t xml:space="preserve">Young </w:t>
            </w:r>
            <w:r w:rsidR="0063239D">
              <w:t>p</w:t>
            </w:r>
            <w:r w:rsidRPr="005E21D3">
              <w:t xml:space="preserve">arent </w:t>
            </w:r>
            <w:r w:rsidR="0063239D">
              <w:t>p</w:t>
            </w:r>
            <w:r w:rsidRPr="005E21D3">
              <w:t xml:space="preserve">ayment </w:t>
            </w:r>
            <w:r w:rsidR="0063239D" w:rsidRPr="005E21D3">
              <w:t>–</w:t>
            </w:r>
            <w:r w:rsidRPr="005E21D3">
              <w:t xml:space="preserve"> Married, civil union or de facto couple (with children) </w:t>
            </w:r>
          </w:p>
        </w:tc>
        <w:tc>
          <w:tcPr>
            <w:tcW w:w="1890" w:type="dxa"/>
            <w:tcBorders>
              <w:top w:val="single" w:sz="4" w:space="0" w:color="auto"/>
              <w:left w:val="single" w:sz="4" w:space="0" w:color="auto"/>
              <w:bottom w:val="single" w:sz="4" w:space="0" w:color="auto"/>
              <w:right w:val="single" w:sz="4" w:space="0" w:color="auto"/>
            </w:tcBorders>
            <w:vAlign w:val="center"/>
          </w:tcPr>
          <w:p w14:paraId="22FA9718" w14:textId="77777777" w:rsidR="005E21D3" w:rsidRPr="005E21D3" w:rsidRDefault="005E21D3" w:rsidP="0063239D">
            <w:pPr>
              <w:pStyle w:val="HUDBody"/>
            </w:pPr>
            <w:r w:rsidRPr="005E21D3">
              <w:t>$649.22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34791" w14:textId="77777777" w:rsidR="005E21D3" w:rsidRPr="005E21D3" w:rsidRDefault="005E21D3" w:rsidP="0063239D">
            <w:pPr>
              <w:pStyle w:val="HUDBody"/>
            </w:pPr>
            <w:r w:rsidRPr="005E21D3">
              <w:t>$162.31</w:t>
            </w:r>
          </w:p>
        </w:tc>
        <w:tc>
          <w:tcPr>
            <w:tcW w:w="2196" w:type="dxa"/>
            <w:tcBorders>
              <w:top w:val="single" w:sz="4" w:space="0" w:color="auto"/>
              <w:left w:val="single" w:sz="4" w:space="0" w:color="auto"/>
              <w:bottom w:val="single" w:sz="4" w:space="0" w:color="auto"/>
              <w:right w:val="single" w:sz="4" w:space="0" w:color="auto"/>
            </w:tcBorders>
            <w:vAlign w:val="center"/>
          </w:tcPr>
          <w:p w14:paraId="015D42F9" w14:textId="77777777" w:rsidR="005E21D3" w:rsidRPr="005E21D3" w:rsidRDefault="005E21D3" w:rsidP="0063239D">
            <w:pPr>
              <w:pStyle w:val="HUDBody"/>
            </w:pPr>
            <w:r w:rsidRPr="005E21D3">
              <w:t>$36.</w:t>
            </w:r>
            <w:r w:rsidRPr="005E21D3" w:rsidDel="00D706D7">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71DEEDE6" w14:textId="77777777" w:rsidR="005E21D3" w:rsidRPr="005E21D3" w:rsidRDefault="005E21D3" w:rsidP="0063239D">
            <w:pPr>
              <w:pStyle w:val="HUDBody"/>
            </w:pPr>
            <w:r w:rsidRPr="005E21D3">
              <w:t>$198.00</w:t>
            </w:r>
          </w:p>
        </w:tc>
      </w:tr>
      <w:tr w:rsidR="005E21D3" w:rsidRPr="005E21D3" w14:paraId="307D2FA6" w14:textId="77777777" w:rsidTr="003639BD">
        <w:trPr>
          <w:trHeight w:val="247"/>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A1AC0" w14:textId="4850EF95" w:rsidR="005E21D3" w:rsidRPr="005E21D3" w:rsidRDefault="005E21D3" w:rsidP="005E21D3">
            <w:pPr>
              <w:pStyle w:val="HUDBody"/>
              <w:rPr>
                <w:b/>
              </w:rPr>
            </w:pPr>
            <w:r w:rsidRPr="005E21D3">
              <w:t xml:space="preserve">Young </w:t>
            </w:r>
            <w:r w:rsidR="0063239D">
              <w:t>p</w:t>
            </w:r>
            <w:r w:rsidRPr="005E21D3">
              <w:t xml:space="preserve">arent </w:t>
            </w:r>
            <w:r w:rsidR="0063239D">
              <w:t>p</w:t>
            </w:r>
            <w:r w:rsidRPr="005E21D3">
              <w:t xml:space="preserve">ayment </w:t>
            </w:r>
            <w:r w:rsidR="0063239D" w:rsidRPr="005E21D3">
              <w:t>–</w:t>
            </w:r>
            <w:r w:rsidRPr="005E21D3">
              <w:t xml:space="preserve"> </w:t>
            </w:r>
            <w:r w:rsidR="0063239D">
              <w:t>s</w:t>
            </w:r>
            <w:r w:rsidRPr="005E21D3">
              <w:t>ole parent aged 16–17 years (with children)</w:t>
            </w:r>
          </w:p>
        </w:tc>
        <w:tc>
          <w:tcPr>
            <w:tcW w:w="1890" w:type="dxa"/>
            <w:tcBorders>
              <w:top w:val="single" w:sz="4" w:space="0" w:color="auto"/>
              <w:left w:val="single" w:sz="4" w:space="0" w:color="auto"/>
              <w:bottom w:val="single" w:sz="4" w:space="0" w:color="auto"/>
              <w:right w:val="single" w:sz="4" w:space="0" w:color="auto"/>
            </w:tcBorders>
            <w:vAlign w:val="center"/>
          </w:tcPr>
          <w:p w14:paraId="39F11D81" w14:textId="77777777" w:rsidR="005E21D3" w:rsidRPr="005E21D3" w:rsidRDefault="005E21D3" w:rsidP="0063239D">
            <w:pPr>
              <w:pStyle w:val="HUDBody"/>
            </w:pPr>
            <w:r w:rsidRPr="005E21D3">
              <w:t>$505.80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5AAF6" w14:textId="77777777" w:rsidR="005E21D3" w:rsidRPr="005E21D3" w:rsidRDefault="005E21D3" w:rsidP="0063239D">
            <w:pPr>
              <w:pStyle w:val="HUDBody"/>
              <w:rPr>
                <w:b/>
              </w:rPr>
            </w:pPr>
            <w:r w:rsidRPr="005E21D3">
              <w:t>$126.45</w:t>
            </w:r>
          </w:p>
        </w:tc>
        <w:tc>
          <w:tcPr>
            <w:tcW w:w="2196" w:type="dxa"/>
            <w:tcBorders>
              <w:top w:val="single" w:sz="4" w:space="0" w:color="auto"/>
              <w:left w:val="single" w:sz="4" w:space="0" w:color="auto"/>
              <w:bottom w:val="single" w:sz="4" w:space="0" w:color="auto"/>
              <w:right w:val="single" w:sz="4" w:space="0" w:color="auto"/>
            </w:tcBorders>
            <w:vAlign w:val="center"/>
          </w:tcPr>
          <w:p w14:paraId="5E7C9C0C" w14:textId="77777777" w:rsidR="005E21D3" w:rsidRPr="005E21D3" w:rsidRDefault="005E21D3" w:rsidP="0063239D">
            <w:pPr>
              <w:pStyle w:val="HUDBody"/>
            </w:pPr>
            <w:r w:rsidRPr="005E21D3">
              <w:t>$36.</w:t>
            </w:r>
            <w:r w:rsidRPr="005E21D3" w:rsidDel="00D706D7">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6D7B5BC9" w14:textId="77777777" w:rsidR="005E21D3" w:rsidRPr="005E21D3" w:rsidRDefault="005E21D3" w:rsidP="0063239D">
            <w:pPr>
              <w:pStyle w:val="HUDBody"/>
            </w:pPr>
            <w:r w:rsidRPr="005E21D3">
              <w:t>$162.00</w:t>
            </w:r>
          </w:p>
        </w:tc>
      </w:tr>
      <w:tr w:rsidR="005E21D3" w:rsidRPr="005E21D3" w14:paraId="408EA48F" w14:textId="77777777" w:rsidTr="003639BD">
        <w:trPr>
          <w:trHeight w:val="523"/>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9B012" w14:textId="2707848F" w:rsidR="005E21D3" w:rsidRPr="005E21D3" w:rsidRDefault="005E21D3" w:rsidP="005E21D3">
            <w:pPr>
              <w:pStyle w:val="HUDBody"/>
            </w:pPr>
            <w:r w:rsidRPr="005E21D3">
              <w:t xml:space="preserve">Jobseeker </w:t>
            </w:r>
            <w:r w:rsidR="0063239D">
              <w:t>s</w:t>
            </w:r>
            <w:r w:rsidRPr="005E21D3">
              <w:t xml:space="preserve">upport – </w:t>
            </w:r>
            <w:r w:rsidR="0063239D">
              <w:t>s</w:t>
            </w:r>
            <w:r w:rsidRPr="005E21D3">
              <w:t>ingle, 18–24 years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1C04884B" w14:textId="77777777" w:rsidR="005E21D3" w:rsidRPr="005E21D3" w:rsidRDefault="005E21D3" w:rsidP="0063239D">
            <w:pPr>
              <w:pStyle w:val="HUDBody"/>
            </w:pPr>
            <w:r w:rsidRPr="005E21D3">
              <w:t>$314.72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D7258" w14:textId="77777777" w:rsidR="005E21D3" w:rsidRPr="005E21D3" w:rsidRDefault="005E21D3" w:rsidP="0063239D">
            <w:pPr>
              <w:pStyle w:val="HUDBody"/>
              <w:rPr>
                <w:b/>
              </w:rPr>
            </w:pPr>
            <w:r w:rsidRPr="005E21D3">
              <w:t>$78.68</w:t>
            </w:r>
          </w:p>
        </w:tc>
        <w:tc>
          <w:tcPr>
            <w:tcW w:w="2196" w:type="dxa"/>
            <w:tcBorders>
              <w:top w:val="single" w:sz="4" w:space="0" w:color="auto"/>
              <w:left w:val="single" w:sz="4" w:space="0" w:color="auto"/>
              <w:bottom w:val="single" w:sz="4" w:space="0" w:color="auto"/>
              <w:right w:val="single" w:sz="4" w:space="0" w:color="auto"/>
            </w:tcBorders>
            <w:vAlign w:val="center"/>
          </w:tcPr>
          <w:p w14:paraId="544896A6" w14:textId="77777777" w:rsidR="005E21D3" w:rsidRPr="005E21D3" w:rsidRDefault="005E21D3" w:rsidP="0063239D">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7FC841BB" w14:textId="77777777" w:rsidR="005E21D3" w:rsidRPr="005E21D3" w:rsidRDefault="005E21D3" w:rsidP="0063239D">
            <w:pPr>
              <w:pStyle w:val="HUDBody"/>
            </w:pPr>
            <w:r w:rsidRPr="005E21D3">
              <w:t>$78.00</w:t>
            </w:r>
          </w:p>
        </w:tc>
      </w:tr>
      <w:tr w:rsidR="005E21D3" w:rsidRPr="005E21D3" w14:paraId="36D32F7D" w14:textId="77777777" w:rsidTr="003639BD">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BE514" w14:textId="594D62FC" w:rsidR="005E21D3" w:rsidRPr="005E21D3" w:rsidRDefault="005E21D3" w:rsidP="005E21D3">
            <w:pPr>
              <w:pStyle w:val="HUDBody"/>
              <w:rPr>
                <w:b/>
              </w:rPr>
            </w:pPr>
            <w:r w:rsidRPr="005E21D3">
              <w:t xml:space="preserve">Job </w:t>
            </w:r>
            <w:r w:rsidR="0063239D">
              <w:t>s</w:t>
            </w:r>
            <w:r w:rsidRPr="005E21D3">
              <w:t xml:space="preserve">eeker </w:t>
            </w:r>
            <w:r w:rsidR="0063239D">
              <w:t>s</w:t>
            </w:r>
            <w:r w:rsidRPr="005E21D3">
              <w:t xml:space="preserve">upport </w:t>
            </w:r>
            <w:r w:rsidR="0063239D" w:rsidRPr="005E21D3">
              <w:t>–</w:t>
            </w:r>
            <w:r w:rsidRPr="005E21D3">
              <w:t xml:space="preserve"> </w:t>
            </w:r>
            <w:r w:rsidR="0063239D">
              <w:t>s</w:t>
            </w:r>
            <w:r w:rsidRPr="005E21D3">
              <w:t>ingle person aged 25+ years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69A01604" w14:textId="77777777" w:rsidR="005E21D3" w:rsidRPr="005E21D3" w:rsidRDefault="005E21D3" w:rsidP="0063239D">
            <w:pPr>
              <w:pStyle w:val="HUDBody"/>
            </w:pPr>
            <w:r w:rsidRPr="005E21D3">
              <w:t>$361.32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98AEB" w14:textId="77777777" w:rsidR="005E21D3" w:rsidRPr="005E21D3" w:rsidRDefault="005E21D3" w:rsidP="0063239D">
            <w:pPr>
              <w:pStyle w:val="HUDBody"/>
              <w:rPr>
                <w:b/>
              </w:rPr>
            </w:pPr>
            <w:r w:rsidRPr="005E21D3">
              <w:t>$90.33</w:t>
            </w:r>
          </w:p>
        </w:tc>
        <w:tc>
          <w:tcPr>
            <w:tcW w:w="2196" w:type="dxa"/>
            <w:tcBorders>
              <w:top w:val="single" w:sz="4" w:space="0" w:color="auto"/>
              <w:left w:val="single" w:sz="4" w:space="0" w:color="auto"/>
              <w:bottom w:val="single" w:sz="4" w:space="0" w:color="auto"/>
              <w:right w:val="single" w:sz="4" w:space="0" w:color="auto"/>
            </w:tcBorders>
            <w:vAlign w:val="center"/>
          </w:tcPr>
          <w:p w14:paraId="7AD32FAF" w14:textId="77777777" w:rsidR="005E21D3" w:rsidRPr="005E21D3" w:rsidRDefault="005E21D3" w:rsidP="0063239D">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12D9565F" w14:textId="77777777" w:rsidR="005E21D3" w:rsidRPr="005E21D3" w:rsidRDefault="005E21D3" w:rsidP="0063239D">
            <w:pPr>
              <w:pStyle w:val="HUDBody"/>
            </w:pPr>
            <w:r w:rsidRPr="005E21D3">
              <w:t>$90.00</w:t>
            </w:r>
          </w:p>
        </w:tc>
      </w:tr>
      <w:tr w:rsidR="005E21D3" w:rsidRPr="005E21D3" w14:paraId="39E0190B"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191FE" w14:textId="64FF7322" w:rsidR="005E21D3" w:rsidRPr="005E21D3" w:rsidRDefault="005E21D3" w:rsidP="005E21D3">
            <w:pPr>
              <w:pStyle w:val="HUDBody"/>
            </w:pPr>
            <w:r w:rsidRPr="005E21D3">
              <w:lastRenderedPageBreak/>
              <w:t xml:space="preserve">Job </w:t>
            </w:r>
            <w:r w:rsidR="0063239D">
              <w:t>s</w:t>
            </w:r>
            <w:r w:rsidRPr="005E21D3">
              <w:t xml:space="preserve">eeker </w:t>
            </w:r>
            <w:r w:rsidR="0063239D">
              <w:t>s</w:t>
            </w:r>
            <w:r w:rsidRPr="005E21D3">
              <w:t xml:space="preserve">upport – </w:t>
            </w:r>
            <w:r w:rsidR="0063239D">
              <w:t>m</w:t>
            </w:r>
            <w:r w:rsidRPr="005E21D3">
              <w:t>arried, civil union or de-facto couple (without children) total</w:t>
            </w:r>
          </w:p>
        </w:tc>
        <w:tc>
          <w:tcPr>
            <w:tcW w:w="1890" w:type="dxa"/>
            <w:tcBorders>
              <w:top w:val="single" w:sz="4" w:space="0" w:color="auto"/>
              <w:left w:val="single" w:sz="4" w:space="0" w:color="auto"/>
              <w:bottom w:val="single" w:sz="4" w:space="0" w:color="auto"/>
              <w:right w:val="single" w:sz="4" w:space="0" w:color="auto"/>
            </w:tcBorders>
            <w:vAlign w:val="center"/>
          </w:tcPr>
          <w:p w14:paraId="28DAB755" w14:textId="77777777" w:rsidR="005E21D3" w:rsidRPr="005E21D3" w:rsidRDefault="005E21D3" w:rsidP="005E21D3">
            <w:pPr>
              <w:pStyle w:val="HUDBody"/>
            </w:pPr>
            <w:r w:rsidRPr="005E21D3">
              <w:t>$614.84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80D98" w14:textId="77777777" w:rsidR="005E21D3" w:rsidRPr="005E21D3" w:rsidRDefault="005E21D3" w:rsidP="005E21D3">
            <w:pPr>
              <w:pStyle w:val="HUDBody"/>
            </w:pPr>
            <w:r w:rsidRPr="005E21D3">
              <w:t>$153.71</w:t>
            </w:r>
          </w:p>
        </w:tc>
        <w:tc>
          <w:tcPr>
            <w:tcW w:w="2196" w:type="dxa"/>
            <w:tcBorders>
              <w:top w:val="single" w:sz="4" w:space="0" w:color="auto"/>
              <w:left w:val="single" w:sz="4" w:space="0" w:color="auto"/>
              <w:bottom w:val="single" w:sz="4" w:space="0" w:color="auto"/>
              <w:right w:val="single" w:sz="4" w:space="0" w:color="auto"/>
            </w:tcBorders>
            <w:vAlign w:val="center"/>
          </w:tcPr>
          <w:p w14:paraId="54EE78A1"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5B968E5B" w14:textId="77777777" w:rsidR="005E21D3" w:rsidRPr="005E21D3" w:rsidRDefault="005E21D3" w:rsidP="005E21D3">
            <w:pPr>
              <w:pStyle w:val="HUDBody"/>
            </w:pPr>
            <w:r w:rsidRPr="005E21D3">
              <w:t>$153.00</w:t>
            </w:r>
          </w:p>
        </w:tc>
      </w:tr>
      <w:tr w:rsidR="005E21D3" w:rsidRPr="005E21D3" w14:paraId="68362D3E"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D889F" w14:textId="6D7948E1" w:rsidR="005E21D3" w:rsidRPr="005E21D3" w:rsidRDefault="005E21D3" w:rsidP="005E21D3">
            <w:pPr>
              <w:pStyle w:val="HUDBody"/>
            </w:pPr>
            <w:r w:rsidRPr="005E21D3">
              <w:t xml:space="preserve">Job </w:t>
            </w:r>
            <w:r w:rsidR="0063239D">
              <w:t>s</w:t>
            </w:r>
            <w:r w:rsidRPr="005E21D3">
              <w:t xml:space="preserve">eeker </w:t>
            </w:r>
            <w:r w:rsidR="0063239D">
              <w:t>s</w:t>
            </w:r>
            <w:r w:rsidRPr="005E21D3">
              <w:t xml:space="preserve">upport – </w:t>
            </w:r>
            <w:r w:rsidR="0063239D">
              <w:t>m</w:t>
            </w:r>
            <w:r w:rsidRPr="005E21D3">
              <w:t xml:space="preserve">arried, civil union or de-facto couple (with children) </w:t>
            </w:r>
          </w:p>
        </w:tc>
        <w:tc>
          <w:tcPr>
            <w:tcW w:w="1890" w:type="dxa"/>
            <w:tcBorders>
              <w:top w:val="single" w:sz="4" w:space="0" w:color="auto"/>
              <w:left w:val="single" w:sz="4" w:space="0" w:color="auto"/>
              <w:bottom w:val="single" w:sz="4" w:space="0" w:color="auto"/>
              <w:right w:val="single" w:sz="4" w:space="0" w:color="auto"/>
            </w:tcBorders>
            <w:vAlign w:val="center"/>
          </w:tcPr>
          <w:p w14:paraId="1EDF1C7F" w14:textId="77777777" w:rsidR="005E21D3" w:rsidRPr="005E21D3" w:rsidRDefault="005E21D3" w:rsidP="005E21D3">
            <w:pPr>
              <w:pStyle w:val="HUDBody"/>
            </w:pPr>
            <w:r w:rsidRPr="005E21D3">
              <w:t>$649.22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4FAB7" w14:textId="77777777" w:rsidR="005E21D3" w:rsidRPr="005E21D3" w:rsidRDefault="005E21D3" w:rsidP="005E21D3">
            <w:pPr>
              <w:pStyle w:val="HUDBody"/>
            </w:pPr>
            <w:r w:rsidRPr="005E21D3">
              <w:t>$162.31</w:t>
            </w:r>
          </w:p>
        </w:tc>
        <w:tc>
          <w:tcPr>
            <w:tcW w:w="2196" w:type="dxa"/>
            <w:tcBorders>
              <w:top w:val="single" w:sz="4" w:space="0" w:color="auto"/>
              <w:left w:val="single" w:sz="4" w:space="0" w:color="auto"/>
              <w:bottom w:val="single" w:sz="4" w:space="0" w:color="auto"/>
              <w:right w:val="single" w:sz="4" w:space="0" w:color="auto"/>
            </w:tcBorders>
            <w:vAlign w:val="center"/>
          </w:tcPr>
          <w:p w14:paraId="072342BC" w14:textId="77777777" w:rsidR="005E21D3" w:rsidRPr="005E21D3" w:rsidRDefault="005E21D3" w:rsidP="005E21D3">
            <w:pPr>
              <w:pStyle w:val="HUDBody"/>
            </w:pPr>
            <w:r w:rsidRPr="005E21D3">
              <w:t>$36.</w:t>
            </w:r>
            <w:r w:rsidRPr="005E21D3" w:rsidDel="00E453D3">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6EC3CA56" w14:textId="77777777" w:rsidR="005E21D3" w:rsidRPr="005E21D3" w:rsidRDefault="005E21D3" w:rsidP="005E21D3">
            <w:pPr>
              <w:pStyle w:val="HUDBody"/>
            </w:pPr>
            <w:r w:rsidRPr="005E21D3">
              <w:t>$198.00</w:t>
            </w:r>
          </w:p>
        </w:tc>
      </w:tr>
      <w:tr w:rsidR="005E21D3" w:rsidRPr="005E21D3" w14:paraId="31D07CBF"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281DD" w14:textId="2583864B" w:rsidR="005E21D3" w:rsidRPr="005E21D3" w:rsidRDefault="005E21D3" w:rsidP="005E21D3">
            <w:pPr>
              <w:pStyle w:val="HUDBody"/>
            </w:pPr>
            <w:r w:rsidRPr="005E21D3">
              <w:t xml:space="preserve">Job </w:t>
            </w:r>
            <w:r w:rsidR="0063239D">
              <w:t>s</w:t>
            </w:r>
            <w:r w:rsidRPr="005E21D3">
              <w:t xml:space="preserve">eeker </w:t>
            </w:r>
            <w:r w:rsidR="0063239D">
              <w:t>s</w:t>
            </w:r>
            <w:r w:rsidRPr="005E21D3">
              <w:t xml:space="preserve">upport </w:t>
            </w:r>
            <w:r w:rsidR="0063239D" w:rsidRPr="005E21D3">
              <w:t>–</w:t>
            </w:r>
            <w:r w:rsidRPr="005E21D3">
              <w:t xml:space="preserve"> </w:t>
            </w:r>
            <w:r w:rsidR="0063239D">
              <w:t>s</w:t>
            </w:r>
            <w:r w:rsidRPr="005E21D3">
              <w:t xml:space="preserve">ingle and receiving </w:t>
            </w:r>
            <w:r w:rsidR="0063239D">
              <w:t>d</w:t>
            </w:r>
            <w:r w:rsidRPr="005E21D3">
              <w:t xml:space="preserve">omestic </w:t>
            </w:r>
            <w:r w:rsidR="0063239D">
              <w:t>p</w:t>
            </w:r>
            <w:r w:rsidRPr="005E21D3">
              <w:t xml:space="preserve">urposes </w:t>
            </w:r>
            <w:r w:rsidR="0063239D">
              <w:t>b</w:t>
            </w:r>
            <w:r w:rsidRPr="005E21D3">
              <w:t>enefit</w:t>
            </w:r>
            <w:r w:rsidR="0063239D">
              <w:t>,</w:t>
            </w:r>
            <w:r w:rsidRPr="005E21D3">
              <w:t xml:space="preserve"> woman alone or </w:t>
            </w:r>
            <w:r w:rsidR="0063239D">
              <w:t>w</w:t>
            </w:r>
            <w:r w:rsidRPr="005E21D3">
              <w:t>idow</w:t>
            </w:r>
            <w:r w:rsidR="0063239D">
              <w:t>ed</w:t>
            </w:r>
            <w:r w:rsidRPr="005E21D3">
              <w:t xml:space="preserve"> </w:t>
            </w:r>
            <w:r w:rsidR="0063239D">
              <w:t>w</w:t>
            </w:r>
            <w:r w:rsidRPr="005E21D3">
              <w:t xml:space="preserve">oman </w:t>
            </w:r>
            <w:r w:rsidR="0063239D">
              <w:t>a</w:t>
            </w:r>
            <w:r w:rsidRPr="005E21D3">
              <w:t>lone, granted before 15 July 2013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20ECA2B3" w14:textId="77777777" w:rsidR="005E21D3" w:rsidRPr="005E21D3" w:rsidRDefault="005E21D3" w:rsidP="005E21D3">
            <w:pPr>
              <w:pStyle w:val="HUDBody"/>
            </w:pPr>
            <w:r w:rsidRPr="005E21D3">
              <w:t>$372.93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A7556" w14:textId="77777777" w:rsidR="005E21D3" w:rsidRPr="005E21D3" w:rsidRDefault="005E21D3" w:rsidP="005E21D3">
            <w:pPr>
              <w:pStyle w:val="HUDBody"/>
              <w:rPr>
                <w:b/>
              </w:rPr>
            </w:pPr>
            <w:r w:rsidRPr="005E21D3">
              <w:t>$93.23</w:t>
            </w:r>
          </w:p>
        </w:tc>
        <w:tc>
          <w:tcPr>
            <w:tcW w:w="2196" w:type="dxa"/>
            <w:tcBorders>
              <w:top w:val="single" w:sz="4" w:space="0" w:color="auto"/>
              <w:left w:val="single" w:sz="4" w:space="0" w:color="auto"/>
              <w:bottom w:val="single" w:sz="4" w:space="0" w:color="auto"/>
              <w:right w:val="single" w:sz="4" w:space="0" w:color="auto"/>
            </w:tcBorders>
            <w:vAlign w:val="center"/>
          </w:tcPr>
          <w:p w14:paraId="44E42E16"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00C8C8EA" w14:textId="77777777" w:rsidR="005E21D3" w:rsidRPr="005E21D3" w:rsidRDefault="005E21D3" w:rsidP="005E21D3">
            <w:pPr>
              <w:pStyle w:val="HUDBody"/>
            </w:pPr>
            <w:r w:rsidRPr="005E21D3">
              <w:t>$93.00</w:t>
            </w:r>
          </w:p>
        </w:tc>
      </w:tr>
      <w:tr w:rsidR="005E21D3" w:rsidRPr="005E21D3" w14:paraId="5BC6650D"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E66A8" w14:textId="18E366FC" w:rsidR="005E21D3" w:rsidRPr="005E21D3" w:rsidRDefault="005E21D3" w:rsidP="005E21D3">
            <w:pPr>
              <w:pStyle w:val="HUDBody"/>
            </w:pPr>
            <w:r w:rsidRPr="005E21D3">
              <w:t xml:space="preserve">Job </w:t>
            </w:r>
            <w:r w:rsidR="0063239D">
              <w:t>s</w:t>
            </w:r>
            <w:r w:rsidRPr="005E21D3">
              <w:t xml:space="preserve">eeker </w:t>
            </w:r>
            <w:r w:rsidR="0063239D">
              <w:t>s</w:t>
            </w:r>
            <w:r w:rsidRPr="005E21D3">
              <w:t xml:space="preserve">upport – </w:t>
            </w:r>
            <w:r w:rsidR="0063239D">
              <w:t>s</w:t>
            </w:r>
            <w:r w:rsidRPr="005E21D3">
              <w:t xml:space="preserve">ole </w:t>
            </w:r>
            <w:r w:rsidR="0063239D">
              <w:t>p</w:t>
            </w:r>
            <w:r w:rsidRPr="005E21D3">
              <w:t>arent (with children)</w:t>
            </w:r>
          </w:p>
        </w:tc>
        <w:tc>
          <w:tcPr>
            <w:tcW w:w="1890" w:type="dxa"/>
            <w:tcBorders>
              <w:top w:val="single" w:sz="4" w:space="0" w:color="auto"/>
              <w:left w:val="single" w:sz="4" w:space="0" w:color="auto"/>
              <w:bottom w:val="single" w:sz="4" w:space="0" w:color="auto"/>
              <w:right w:val="single" w:sz="4" w:space="0" w:color="auto"/>
            </w:tcBorders>
            <w:vAlign w:val="center"/>
          </w:tcPr>
          <w:p w14:paraId="28C51403" w14:textId="77777777" w:rsidR="005E21D3" w:rsidRPr="005E21D3" w:rsidRDefault="005E21D3" w:rsidP="005E21D3">
            <w:pPr>
              <w:pStyle w:val="HUDBody"/>
            </w:pPr>
            <w:r w:rsidRPr="005E21D3">
              <w:t>$505.80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D722C" w14:textId="77777777" w:rsidR="005E21D3" w:rsidRPr="005E21D3" w:rsidRDefault="005E21D3" w:rsidP="005E21D3">
            <w:pPr>
              <w:pStyle w:val="HUDBody"/>
            </w:pPr>
            <w:r w:rsidRPr="005E21D3">
              <w:t>$126.45</w:t>
            </w:r>
          </w:p>
        </w:tc>
        <w:tc>
          <w:tcPr>
            <w:tcW w:w="2196" w:type="dxa"/>
            <w:tcBorders>
              <w:top w:val="single" w:sz="4" w:space="0" w:color="auto"/>
              <w:left w:val="single" w:sz="4" w:space="0" w:color="auto"/>
              <w:bottom w:val="single" w:sz="4" w:space="0" w:color="auto"/>
              <w:right w:val="single" w:sz="4" w:space="0" w:color="auto"/>
            </w:tcBorders>
            <w:vAlign w:val="center"/>
          </w:tcPr>
          <w:p w14:paraId="5231D138" w14:textId="77777777" w:rsidR="005E21D3" w:rsidRPr="005E21D3" w:rsidRDefault="005E21D3" w:rsidP="005E21D3">
            <w:pPr>
              <w:pStyle w:val="HUDBody"/>
            </w:pPr>
            <w:r w:rsidRPr="005E21D3">
              <w:t>$36.</w:t>
            </w:r>
            <w:r w:rsidRPr="005E21D3" w:rsidDel="00811197">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5C34419F" w14:textId="77777777" w:rsidR="005E21D3" w:rsidRPr="005E21D3" w:rsidRDefault="005E21D3" w:rsidP="005E21D3">
            <w:pPr>
              <w:pStyle w:val="HUDBody"/>
            </w:pPr>
            <w:r w:rsidRPr="005E21D3">
              <w:t>$162.00</w:t>
            </w:r>
          </w:p>
        </w:tc>
      </w:tr>
      <w:tr w:rsidR="005E21D3" w:rsidRPr="005E21D3" w14:paraId="706C67CE"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F79F7" w14:textId="050D9901" w:rsidR="005E21D3" w:rsidRPr="005E21D3" w:rsidRDefault="005E21D3" w:rsidP="005E21D3">
            <w:pPr>
              <w:pStyle w:val="HUDBody"/>
            </w:pPr>
            <w:r w:rsidRPr="005E21D3">
              <w:t xml:space="preserve">Sole </w:t>
            </w:r>
            <w:r w:rsidR="0063239D">
              <w:t>p</w:t>
            </w:r>
            <w:r w:rsidRPr="005E21D3">
              <w:t xml:space="preserve">arent </w:t>
            </w:r>
            <w:r w:rsidR="0063239D">
              <w:t>s</w:t>
            </w:r>
            <w:r w:rsidRPr="005E21D3">
              <w:t>upport (with children)</w:t>
            </w:r>
          </w:p>
        </w:tc>
        <w:tc>
          <w:tcPr>
            <w:tcW w:w="1890" w:type="dxa"/>
            <w:tcBorders>
              <w:top w:val="single" w:sz="4" w:space="0" w:color="auto"/>
              <w:left w:val="single" w:sz="4" w:space="0" w:color="auto"/>
              <w:bottom w:val="single" w:sz="4" w:space="0" w:color="auto"/>
              <w:right w:val="single" w:sz="4" w:space="0" w:color="auto"/>
            </w:tcBorders>
            <w:vAlign w:val="center"/>
          </w:tcPr>
          <w:p w14:paraId="0396D532" w14:textId="77777777" w:rsidR="005E21D3" w:rsidRPr="005E21D3" w:rsidRDefault="005E21D3" w:rsidP="005E21D3">
            <w:pPr>
              <w:pStyle w:val="HUDBody"/>
            </w:pPr>
            <w:r w:rsidRPr="005E21D3">
              <w:t>$505.80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D982F" w14:textId="77777777" w:rsidR="005E21D3" w:rsidRPr="005E21D3" w:rsidRDefault="005E21D3" w:rsidP="005E21D3">
            <w:pPr>
              <w:pStyle w:val="HUDBody"/>
            </w:pPr>
            <w:r w:rsidRPr="005E21D3">
              <w:t>$126.45</w:t>
            </w:r>
          </w:p>
        </w:tc>
        <w:tc>
          <w:tcPr>
            <w:tcW w:w="2196" w:type="dxa"/>
            <w:tcBorders>
              <w:top w:val="single" w:sz="4" w:space="0" w:color="auto"/>
              <w:left w:val="single" w:sz="4" w:space="0" w:color="auto"/>
              <w:bottom w:val="single" w:sz="4" w:space="0" w:color="auto"/>
              <w:right w:val="single" w:sz="4" w:space="0" w:color="auto"/>
            </w:tcBorders>
            <w:vAlign w:val="center"/>
          </w:tcPr>
          <w:p w14:paraId="094425AF" w14:textId="77777777" w:rsidR="005E21D3" w:rsidRPr="005E21D3" w:rsidRDefault="005E21D3" w:rsidP="005E21D3">
            <w:pPr>
              <w:pStyle w:val="HUDBody"/>
            </w:pPr>
            <w:r w:rsidRPr="005E21D3">
              <w:t>$36.</w:t>
            </w:r>
            <w:r w:rsidRPr="005E21D3" w:rsidDel="00A45B16">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16665F8D" w14:textId="77777777" w:rsidR="005E21D3" w:rsidRPr="005E21D3" w:rsidRDefault="005E21D3" w:rsidP="005E21D3">
            <w:pPr>
              <w:pStyle w:val="HUDBody"/>
            </w:pPr>
            <w:r w:rsidRPr="005E21D3">
              <w:t>$162.00</w:t>
            </w:r>
          </w:p>
        </w:tc>
      </w:tr>
      <w:tr w:rsidR="005E21D3" w:rsidRPr="005E21D3" w14:paraId="46B6414E"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743E6" w14:textId="6A3F7E43" w:rsidR="005E21D3" w:rsidRPr="005E21D3" w:rsidRDefault="005E21D3" w:rsidP="005E21D3">
            <w:pPr>
              <w:pStyle w:val="HUDBody"/>
            </w:pPr>
            <w:r w:rsidRPr="005E21D3">
              <w:t xml:space="preserve">Supported </w:t>
            </w:r>
            <w:r w:rsidR="0063239D">
              <w:t>l</w:t>
            </w:r>
            <w:r w:rsidRPr="005E21D3">
              <w:t xml:space="preserve">iving </w:t>
            </w:r>
            <w:r w:rsidR="0063239D">
              <w:t>p</w:t>
            </w:r>
            <w:r w:rsidRPr="005E21D3">
              <w:t xml:space="preserve">ayment – </w:t>
            </w:r>
            <w:r w:rsidR="0063239D">
              <w:t>s</w:t>
            </w:r>
            <w:r w:rsidRPr="005E21D3">
              <w:t>ingle aged 16–17 years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22547DFD" w14:textId="77777777" w:rsidR="005E21D3" w:rsidRPr="005E21D3" w:rsidRDefault="005E21D3" w:rsidP="005E21D3">
            <w:pPr>
              <w:pStyle w:val="HUDBody"/>
            </w:pPr>
            <w:r w:rsidRPr="005E21D3">
              <w:t>$345.14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20590" w14:textId="77777777" w:rsidR="005E21D3" w:rsidRPr="005E21D3" w:rsidRDefault="005E21D3" w:rsidP="005E21D3">
            <w:pPr>
              <w:pStyle w:val="HUDBody"/>
            </w:pPr>
            <w:r w:rsidRPr="005E21D3">
              <w:t>$86.29</w:t>
            </w:r>
          </w:p>
        </w:tc>
        <w:tc>
          <w:tcPr>
            <w:tcW w:w="2196" w:type="dxa"/>
            <w:tcBorders>
              <w:top w:val="single" w:sz="4" w:space="0" w:color="auto"/>
              <w:left w:val="single" w:sz="4" w:space="0" w:color="auto"/>
              <w:bottom w:val="single" w:sz="4" w:space="0" w:color="auto"/>
              <w:right w:val="single" w:sz="4" w:space="0" w:color="auto"/>
            </w:tcBorders>
            <w:vAlign w:val="center"/>
          </w:tcPr>
          <w:p w14:paraId="174C3710"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61E91ACE" w14:textId="77777777" w:rsidR="005E21D3" w:rsidRPr="005E21D3" w:rsidRDefault="005E21D3" w:rsidP="005E21D3">
            <w:pPr>
              <w:pStyle w:val="HUDBody"/>
            </w:pPr>
            <w:r w:rsidRPr="005E21D3">
              <w:t>$86.00</w:t>
            </w:r>
          </w:p>
        </w:tc>
      </w:tr>
      <w:tr w:rsidR="005E21D3" w:rsidRPr="005E21D3" w14:paraId="50A571C9"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41976" w14:textId="19263265" w:rsidR="005E21D3" w:rsidRPr="005E21D3" w:rsidRDefault="005E21D3" w:rsidP="005E21D3">
            <w:pPr>
              <w:pStyle w:val="HUDBody"/>
            </w:pPr>
            <w:r w:rsidRPr="005E21D3">
              <w:t xml:space="preserve">Supported </w:t>
            </w:r>
            <w:r w:rsidR="0063239D">
              <w:t>l</w:t>
            </w:r>
            <w:r w:rsidRPr="005E21D3">
              <w:t xml:space="preserve">iving </w:t>
            </w:r>
            <w:r w:rsidR="0063239D">
              <w:t>p</w:t>
            </w:r>
            <w:r w:rsidRPr="005E21D3">
              <w:t xml:space="preserve">ayment – </w:t>
            </w:r>
            <w:r w:rsidR="0063239D">
              <w:t>s</w:t>
            </w:r>
            <w:r w:rsidRPr="005E21D3">
              <w:t>ingle aged 18 years and over (without children)</w:t>
            </w:r>
          </w:p>
        </w:tc>
        <w:tc>
          <w:tcPr>
            <w:tcW w:w="1890" w:type="dxa"/>
            <w:tcBorders>
              <w:top w:val="single" w:sz="4" w:space="0" w:color="auto"/>
              <w:left w:val="single" w:sz="4" w:space="0" w:color="auto"/>
              <w:bottom w:val="single" w:sz="4" w:space="0" w:color="auto"/>
              <w:right w:val="single" w:sz="4" w:space="0" w:color="auto"/>
            </w:tcBorders>
            <w:vAlign w:val="center"/>
          </w:tcPr>
          <w:p w14:paraId="2781B2B0" w14:textId="77777777" w:rsidR="005E21D3" w:rsidRPr="005E21D3" w:rsidRDefault="005E21D3" w:rsidP="005E21D3">
            <w:pPr>
              <w:pStyle w:val="HUDBody"/>
            </w:pPr>
            <w:r w:rsidRPr="005E21D3">
              <w:t>$411.80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0D637" w14:textId="77777777" w:rsidR="005E21D3" w:rsidRPr="005E21D3" w:rsidRDefault="005E21D3" w:rsidP="005E21D3">
            <w:pPr>
              <w:pStyle w:val="HUDBody"/>
            </w:pPr>
            <w:r w:rsidRPr="005E21D3">
              <w:t>$102.95</w:t>
            </w:r>
          </w:p>
        </w:tc>
        <w:tc>
          <w:tcPr>
            <w:tcW w:w="2196" w:type="dxa"/>
            <w:tcBorders>
              <w:top w:val="single" w:sz="4" w:space="0" w:color="auto"/>
              <w:left w:val="single" w:sz="4" w:space="0" w:color="auto"/>
              <w:bottom w:val="single" w:sz="4" w:space="0" w:color="auto"/>
              <w:right w:val="single" w:sz="4" w:space="0" w:color="auto"/>
            </w:tcBorders>
            <w:vAlign w:val="center"/>
          </w:tcPr>
          <w:p w14:paraId="5C16D25F"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729170E8" w14:textId="77777777" w:rsidR="005E21D3" w:rsidRPr="005E21D3" w:rsidRDefault="005E21D3" w:rsidP="005E21D3">
            <w:pPr>
              <w:pStyle w:val="HUDBody"/>
            </w:pPr>
            <w:r w:rsidRPr="005E21D3">
              <w:t>$102.00</w:t>
            </w:r>
          </w:p>
        </w:tc>
      </w:tr>
      <w:tr w:rsidR="005E21D3" w:rsidRPr="005E21D3" w14:paraId="4F25C5D9"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B0F72" w14:textId="14D7178B" w:rsidR="005E21D3" w:rsidRPr="005E21D3" w:rsidRDefault="005E21D3" w:rsidP="005E21D3">
            <w:pPr>
              <w:pStyle w:val="HUDBody"/>
            </w:pPr>
            <w:r w:rsidRPr="005E21D3">
              <w:t xml:space="preserve">Supported </w:t>
            </w:r>
            <w:r w:rsidR="0063239D">
              <w:t>l</w:t>
            </w:r>
            <w:r w:rsidRPr="005E21D3">
              <w:t xml:space="preserve">iving </w:t>
            </w:r>
            <w:r w:rsidR="0063239D">
              <w:t>p</w:t>
            </w:r>
            <w:r w:rsidRPr="005E21D3">
              <w:t xml:space="preserve">ayment – </w:t>
            </w:r>
            <w:r w:rsidR="0063239D">
              <w:t>m</w:t>
            </w:r>
            <w:r w:rsidRPr="005E21D3">
              <w:t>arried, civil union or de-facto couple 18 years or over (without children) total</w:t>
            </w:r>
          </w:p>
        </w:tc>
        <w:tc>
          <w:tcPr>
            <w:tcW w:w="1890" w:type="dxa"/>
            <w:tcBorders>
              <w:top w:val="single" w:sz="4" w:space="0" w:color="auto"/>
              <w:left w:val="single" w:sz="4" w:space="0" w:color="auto"/>
              <w:bottom w:val="single" w:sz="4" w:space="0" w:color="auto"/>
              <w:right w:val="single" w:sz="4" w:space="0" w:color="auto"/>
            </w:tcBorders>
            <w:vAlign w:val="center"/>
          </w:tcPr>
          <w:p w14:paraId="215C8A0B" w14:textId="77777777" w:rsidR="005E21D3" w:rsidRPr="005E21D3" w:rsidRDefault="005E21D3" w:rsidP="005E21D3">
            <w:pPr>
              <w:pStyle w:val="HUDBody"/>
            </w:pPr>
            <w:r w:rsidRPr="005E21D3">
              <w:t>$699.70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884C3" w14:textId="77777777" w:rsidR="005E21D3" w:rsidRPr="005E21D3" w:rsidRDefault="005E21D3" w:rsidP="005E21D3">
            <w:pPr>
              <w:pStyle w:val="HUDBody"/>
            </w:pPr>
            <w:r w:rsidRPr="005E21D3">
              <w:t>$174.92</w:t>
            </w:r>
          </w:p>
        </w:tc>
        <w:tc>
          <w:tcPr>
            <w:tcW w:w="2196" w:type="dxa"/>
            <w:tcBorders>
              <w:top w:val="single" w:sz="4" w:space="0" w:color="auto"/>
              <w:left w:val="single" w:sz="4" w:space="0" w:color="auto"/>
              <w:bottom w:val="single" w:sz="4" w:space="0" w:color="auto"/>
              <w:right w:val="single" w:sz="4" w:space="0" w:color="auto"/>
            </w:tcBorders>
            <w:vAlign w:val="center"/>
          </w:tcPr>
          <w:p w14:paraId="0B7A1299"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65281E78" w14:textId="77777777" w:rsidR="005E21D3" w:rsidRPr="005E21D3" w:rsidRDefault="005E21D3" w:rsidP="005E21D3">
            <w:pPr>
              <w:pStyle w:val="HUDBody"/>
            </w:pPr>
            <w:r w:rsidRPr="005E21D3">
              <w:t>$174.00</w:t>
            </w:r>
          </w:p>
        </w:tc>
      </w:tr>
      <w:tr w:rsidR="005E21D3" w:rsidRPr="005E21D3" w14:paraId="37BBDB8E"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3F104" w14:textId="156B93DE" w:rsidR="005E21D3" w:rsidRPr="005E21D3" w:rsidRDefault="005E21D3" w:rsidP="005E21D3">
            <w:pPr>
              <w:pStyle w:val="HUDBody"/>
            </w:pPr>
            <w:r w:rsidRPr="005E21D3">
              <w:t xml:space="preserve">Supported </w:t>
            </w:r>
            <w:r w:rsidR="0063239D">
              <w:t>l</w:t>
            </w:r>
            <w:r w:rsidRPr="005E21D3">
              <w:t xml:space="preserve">iving </w:t>
            </w:r>
            <w:r w:rsidR="0063239D">
              <w:t>p</w:t>
            </w:r>
            <w:r w:rsidRPr="005E21D3">
              <w:t xml:space="preserve">ayment – </w:t>
            </w:r>
            <w:r w:rsidR="0063239D">
              <w:t>m</w:t>
            </w:r>
            <w:r w:rsidRPr="005E21D3">
              <w:t>arried, civil union or de-facto couple 18 years or over (with children) total</w:t>
            </w:r>
          </w:p>
        </w:tc>
        <w:tc>
          <w:tcPr>
            <w:tcW w:w="1890" w:type="dxa"/>
            <w:tcBorders>
              <w:top w:val="single" w:sz="4" w:space="0" w:color="auto"/>
              <w:left w:val="single" w:sz="4" w:space="0" w:color="auto"/>
              <w:bottom w:val="single" w:sz="4" w:space="0" w:color="auto"/>
              <w:right w:val="single" w:sz="4" w:space="0" w:color="auto"/>
            </w:tcBorders>
            <w:vAlign w:val="center"/>
          </w:tcPr>
          <w:p w14:paraId="38E228D4" w14:textId="77777777" w:rsidR="005E21D3" w:rsidRPr="005E21D3" w:rsidRDefault="005E21D3" w:rsidP="005E21D3">
            <w:pPr>
              <w:pStyle w:val="HUDBody"/>
            </w:pPr>
            <w:r w:rsidRPr="005E21D3">
              <w:t>$734.12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528F4" w14:textId="77777777" w:rsidR="005E21D3" w:rsidRPr="005E21D3" w:rsidRDefault="005E21D3" w:rsidP="005E21D3">
            <w:pPr>
              <w:pStyle w:val="HUDBody"/>
            </w:pPr>
            <w:r w:rsidRPr="005E21D3">
              <w:t>$183.53</w:t>
            </w:r>
          </w:p>
        </w:tc>
        <w:tc>
          <w:tcPr>
            <w:tcW w:w="2196" w:type="dxa"/>
            <w:tcBorders>
              <w:top w:val="single" w:sz="4" w:space="0" w:color="auto"/>
              <w:left w:val="single" w:sz="4" w:space="0" w:color="auto"/>
              <w:bottom w:val="single" w:sz="4" w:space="0" w:color="auto"/>
              <w:right w:val="single" w:sz="4" w:space="0" w:color="auto"/>
            </w:tcBorders>
            <w:vAlign w:val="center"/>
          </w:tcPr>
          <w:p w14:paraId="1340ED9D" w14:textId="77777777" w:rsidR="005E21D3" w:rsidRPr="005E21D3" w:rsidRDefault="005E21D3" w:rsidP="005E21D3">
            <w:pPr>
              <w:pStyle w:val="HUDBody"/>
            </w:pPr>
            <w:r w:rsidRPr="005E21D3">
              <w:t>$36.</w:t>
            </w:r>
            <w:r w:rsidRPr="005E21D3" w:rsidDel="00A120AB">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3CE852C3" w14:textId="77777777" w:rsidR="005E21D3" w:rsidRPr="005E21D3" w:rsidRDefault="005E21D3" w:rsidP="005E21D3">
            <w:pPr>
              <w:pStyle w:val="HUDBody"/>
            </w:pPr>
            <w:r w:rsidRPr="005E21D3">
              <w:t>$219.60</w:t>
            </w:r>
          </w:p>
        </w:tc>
      </w:tr>
      <w:tr w:rsidR="005E21D3" w:rsidRPr="005E21D3" w14:paraId="58A7B2EB"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2B2D3" w14:textId="0ABBD001" w:rsidR="005E21D3" w:rsidRPr="005E21D3" w:rsidRDefault="005E21D3" w:rsidP="005E21D3">
            <w:pPr>
              <w:pStyle w:val="HUDBody"/>
            </w:pPr>
            <w:r w:rsidRPr="005E21D3">
              <w:lastRenderedPageBreak/>
              <w:t xml:space="preserve">Supported </w:t>
            </w:r>
            <w:r w:rsidR="0063239D">
              <w:t>l</w:t>
            </w:r>
            <w:r w:rsidRPr="005E21D3">
              <w:t xml:space="preserve">iving </w:t>
            </w:r>
            <w:r w:rsidR="0063239D">
              <w:t>p</w:t>
            </w:r>
            <w:r w:rsidRPr="005E21D3">
              <w:t xml:space="preserve">ayment – </w:t>
            </w:r>
            <w:r w:rsidR="0063239D">
              <w:t>s</w:t>
            </w:r>
            <w:r w:rsidRPr="005E21D3">
              <w:t xml:space="preserve">ole </w:t>
            </w:r>
            <w:r w:rsidR="0063239D">
              <w:t>p</w:t>
            </w:r>
            <w:r w:rsidRPr="005E21D3">
              <w:t>arent (with children)</w:t>
            </w:r>
          </w:p>
        </w:tc>
        <w:tc>
          <w:tcPr>
            <w:tcW w:w="1890" w:type="dxa"/>
            <w:tcBorders>
              <w:top w:val="single" w:sz="4" w:space="0" w:color="auto"/>
              <w:left w:val="single" w:sz="4" w:space="0" w:color="auto"/>
              <w:bottom w:val="single" w:sz="4" w:space="0" w:color="auto"/>
              <w:right w:val="single" w:sz="4" w:space="0" w:color="auto"/>
            </w:tcBorders>
            <w:vAlign w:val="center"/>
          </w:tcPr>
          <w:p w14:paraId="5FF31321" w14:textId="77777777" w:rsidR="005E21D3" w:rsidRPr="005E21D3" w:rsidRDefault="005E21D3" w:rsidP="005E21D3">
            <w:pPr>
              <w:pStyle w:val="HUDBody"/>
            </w:pPr>
            <w:r w:rsidRPr="005E21D3">
              <w:t>$564.42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1C7F6" w14:textId="77777777" w:rsidR="005E21D3" w:rsidRPr="005E21D3" w:rsidRDefault="005E21D3" w:rsidP="005E21D3">
            <w:pPr>
              <w:pStyle w:val="HUDBody"/>
            </w:pPr>
            <w:r w:rsidRPr="005E21D3">
              <w:t>$141.10</w:t>
            </w:r>
          </w:p>
        </w:tc>
        <w:tc>
          <w:tcPr>
            <w:tcW w:w="2196" w:type="dxa"/>
            <w:tcBorders>
              <w:top w:val="single" w:sz="4" w:space="0" w:color="auto"/>
              <w:left w:val="single" w:sz="4" w:space="0" w:color="auto"/>
              <w:bottom w:val="single" w:sz="4" w:space="0" w:color="auto"/>
              <w:right w:val="single" w:sz="4" w:space="0" w:color="auto"/>
            </w:tcBorders>
            <w:vAlign w:val="center"/>
          </w:tcPr>
          <w:p w14:paraId="0FD0DC39" w14:textId="77777777" w:rsidR="005E21D3" w:rsidRPr="005E21D3" w:rsidRDefault="005E21D3" w:rsidP="005E21D3">
            <w:pPr>
              <w:pStyle w:val="HUDBody"/>
            </w:pPr>
            <w:r w:rsidRPr="005E21D3">
              <w:t>$36.</w:t>
            </w:r>
            <w:r w:rsidRPr="005E21D3" w:rsidDel="00AB7435">
              <w:t xml:space="preserve"> </w:t>
            </w:r>
            <w:r w:rsidRPr="005E21D3">
              <w:t>07</w:t>
            </w:r>
          </w:p>
        </w:tc>
        <w:tc>
          <w:tcPr>
            <w:tcW w:w="1701" w:type="dxa"/>
            <w:tcBorders>
              <w:top w:val="single" w:sz="4" w:space="0" w:color="auto"/>
              <w:left w:val="single" w:sz="4" w:space="0" w:color="auto"/>
              <w:bottom w:val="single" w:sz="4" w:space="0" w:color="auto"/>
              <w:right w:val="single" w:sz="4" w:space="0" w:color="auto"/>
            </w:tcBorders>
            <w:vAlign w:val="center"/>
          </w:tcPr>
          <w:p w14:paraId="5A9D1E7E" w14:textId="77777777" w:rsidR="005E21D3" w:rsidRPr="005E21D3" w:rsidRDefault="005E21D3" w:rsidP="005E21D3">
            <w:pPr>
              <w:pStyle w:val="HUDBody"/>
            </w:pPr>
            <w:r w:rsidRPr="005E21D3">
              <w:t>$177.00</w:t>
            </w:r>
          </w:p>
        </w:tc>
      </w:tr>
      <w:tr w:rsidR="005E21D3" w:rsidRPr="005E21D3" w14:paraId="29CBC442"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7D7D5" w14:textId="286C7D9F" w:rsidR="005E21D3" w:rsidRPr="005E21D3" w:rsidRDefault="005E21D3" w:rsidP="005E21D3">
            <w:pPr>
              <w:pStyle w:val="HUDBody"/>
            </w:pPr>
            <w:r w:rsidRPr="005E21D3">
              <w:t xml:space="preserve">NZ Super or </w:t>
            </w:r>
            <w:r w:rsidR="0063239D">
              <w:t>v</w:t>
            </w:r>
            <w:r w:rsidRPr="005E21D3">
              <w:t xml:space="preserve">eterans </w:t>
            </w:r>
            <w:r w:rsidR="0063239D">
              <w:t>p</w:t>
            </w:r>
            <w:r w:rsidRPr="005E21D3">
              <w:t xml:space="preserve">ension – </w:t>
            </w:r>
            <w:r w:rsidR="0063239D">
              <w:t>s</w:t>
            </w:r>
            <w:r w:rsidRPr="005E21D3">
              <w:t>ingle living alone</w:t>
            </w:r>
          </w:p>
        </w:tc>
        <w:tc>
          <w:tcPr>
            <w:tcW w:w="1890" w:type="dxa"/>
            <w:tcBorders>
              <w:top w:val="single" w:sz="4" w:space="0" w:color="auto"/>
              <w:left w:val="single" w:sz="4" w:space="0" w:color="auto"/>
              <w:bottom w:val="single" w:sz="4" w:space="0" w:color="auto"/>
              <w:right w:val="single" w:sz="4" w:space="0" w:color="auto"/>
            </w:tcBorders>
            <w:vAlign w:val="center"/>
          </w:tcPr>
          <w:p w14:paraId="5A6FE6E3" w14:textId="77777777" w:rsidR="005E21D3" w:rsidRPr="005E21D3" w:rsidRDefault="005E21D3" w:rsidP="005E21D3">
            <w:pPr>
              <w:pStyle w:val="HUDBody"/>
            </w:pPr>
            <w:r w:rsidRPr="005E21D3">
              <w:t>$538.42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96A82" w14:textId="77777777" w:rsidR="005E21D3" w:rsidRPr="005E21D3" w:rsidRDefault="005E21D3" w:rsidP="005E21D3">
            <w:pPr>
              <w:pStyle w:val="HUDBody"/>
            </w:pPr>
            <w:r w:rsidRPr="005E21D3">
              <w:t>$134.60</w:t>
            </w:r>
          </w:p>
        </w:tc>
        <w:tc>
          <w:tcPr>
            <w:tcW w:w="2196" w:type="dxa"/>
            <w:tcBorders>
              <w:top w:val="single" w:sz="4" w:space="0" w:color="auto"/>
              <w:left w:val="single" w:sz="4" w:space="0" w:color="auto"/>
              <w:bottom w:val="single" w:sz="4" w:space="0" w:color="auto"/>
              <w:right w:val="single" w:sz="4" w:space="0" w:color="auto"/>
            </w:tcBorders>
            <w:vAlign w:val="center"/>
          </w:tcPr>
          <w:p w14:paraId="2877C11D"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15383EBE" w14:textId="77777777" w:rsidR="005E21D3" w:rsidRPr="005E21D3" w:rsidRDefault="005E21D3" w:rsidP="005E21D3">
            <w:pPr>
              <w:pStyle w:val="HUDBody"/>
            </w:pPr>
            <w:r w:rsidRPr="005E21D3">
              <w:t>$134.00</w:t>
            </w:r>
          </w:p>
        </w:tc>
      </w:tr>
      <w:tr w:rsidR="005E21D3" w:rsidRPr="005E21D3" w14:paraId="70755B59" w14:textId="77777777" w:rsidTr="005E21D3">
        <w:trPr>
          <w:trHeight w:val="625"/>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4EB86" w14:textId="06536C6B" w:rsidR="005E21D3" w:rsidRPr="005E21D3" w:rsidRDefault="005E21D3" w:rsidP="005E21D3">
            <w:pPr>
              <w:pStyle w:val="HUDBody"/>
            </w:pPr>
            <w:r w:rsidRPr="005E21D3">
              <w:t xml:space="preserve">NZ Super or </w:t>
            </w:r>
            <w:r w:rsidR="0063239D">
              <w:t>v</w:t>
            </w:r>
            <w:r w:rsidRPr="005E21D3">
              <w:t xml:space="preserve">eterans </w:t>
            </w:r>
            <w:r w:rsidR="0063239D">
              <w:t>p</w:t>
            </w:r>
            <w:r w:rsidRPr="005E21D3">
              <w:t xml:space="preserve">ension – </w:t>
            </w:r>
            <w:r w:rsidR="0063239D">
              <w:t>s</w:t>
            </w:r>
            <w:r w:rsidRPr="005E21D3">
              <w:t>ingle sharing accommodation</w:t>
            </w:r>
          </w:p>
        </w:tc>
        <w:tc>
          <w:tcPr>
            <w:tcW w:w="1890" w:type="dxa"/>
            <w:tcBorders>
              <w:top w:val="single" w:sz="4" w:space="0" w:color="auto"/>
              <w:left w:val="single" w:sz="4" w:space="0" w:color="auto"/>
              <w:bottom w:val="single" w:sz="4" w:space="0" w:color="auto"/>
              <w:right w:val="single" w:sz="4" w:space="0" w:color="auto"/>
            </w:tcBorders>
            <w:vAlign w:val="center"/>
          </w:tcPr>
          <w:p w14:paraId="4E3C3B76" w14:textId="77777777" w:rsidR="005E21D3" w:rsidRPr="005E21D3" w:rsidRDefault="005E21D3" w:rsidP="005E21D3">
            <w:pPr>
              <w:pStyle w:val="HUDBody"/>
            </w:pPr>
            <w:r w:rsidRPr="005E21D3">
              <w:t>$497.00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1F827" w14:textId="77777777" w:rsidR="005E21D3" w:rsidRPr="005E21D3" w:rsidRDefault="005E21D3" w:rsidP="005E21D3">
            <w:pPr>
              <w:pStyle w:val="HUDBody"/>
            </w:pPr>
            <w:r w:rsidRPr="005E21D3">
              <w:t>$124.25</w:t>
            </w:r>
          </w:p>
        </w:tc>
        <w:tc>
          <w:tcPr>
            <w:tcW w:w="2196" w:type="dxa"/>
            <w:tcBorders>
              <w:top w:val="single" w:sz="4" w:space="0" w:color="auto"/>
              <w:left w:val="single" w:sz="4" w:space="0" w:color="auto"/>
              <w:bottom w:val="single" w:sz="4" w:space="0" w:color="auto"/>
              <w:right w:val="single" w:sz="4" w:space="0" w:color="auto"/>
            </w:tcBorders>
            <w:vAlign w:val="center"/>
          </w:tcPr>
          <w:p w14:paraId="6759EBA6"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7FB22654" w14:textId="77777777" w:rsidR="005E21D3" w:rsidRPr="005E21D3" w:rsidRDefault="005E21D3" w:rsidP="005E21D3">
            <w:pPr>
              <w:pStyle w:val="HUDBody"/>
            </w:pPr>
            <w:r w:rsidRPr="005E21D3">
              <w:t>$124.00</w:t>
            </w:r>
          </w:p>
        </w:tc>
      </w:tr>
      <w:tr w:rsidR="005E21D3" w:rsidRPr="005E21D3" w14:paraId="7B02E816" w14:textId="77777777" w:rsidTr="005E21D3">
        <w:trPr>
          <w:trHeight w:val="607"/>
          <w:jc w:val="center"/>
        </w:trPr>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E68D4" w14:textId="2E5D3FB3" w:rsidR="005E21D3" w:rsidRPr="005E21D3" w:rsidRDefault="005E21D3" w:rsidP="005E21D3">
            <w:pPr>
              <w:pStyle w:val="HUDBody"/>
            </w:pPr>
            <w:r w:rsidRPr="005E21D3">
              <w:t xml:space="preserve">NZ Super or </w:t>
            </w:r>
            <w:r w:rsidR="0063239D">
              <w:t>v</w:t>
            </w:r>
            <w:r w:rsidRPr="005E21D3">
              <w:t xml:space="preserve">eterans </w:t>
            </w:r>
            <w:r w:rsidR="0063239D">
              <w:t>p</w:t>
            </w:r>
            <w:r w:rsidRPr="005E21D3">
              <w:t xml:space="preserve">ension – </w:t>
            </w:r>
            <w:r w:rsidR="0063239D">
              <w:t>m</w:t>
            </w:r>
            <w:r w:rsidRPr="005E21D3">
              <w:t>arried, civil union or de-facto (both qualify) total</w:t>
            </w:r>
          </w:p>
        </w:tc>
        <w:tc>
          <w:tcPr>
            <w:tcW w:w="1890" w:type="dxa"/>
            <w:tcBorders>
              <w:top w:val="single" w:sz="4" w:space="0" w:color="auto"/>
              <w:left w:val="single" w:sz="4" w:space="0" w:color="auto"/>
              <w:bottom w:val="single" w:sz="4" w:space="0" w:color="auto"/>
              <w:right w:val="single" w:sz="4" w:space="0" w:color="auto"/>
            </w:tcBorders>
            <w:vAlign w:val="center"/>
          </w:tcPr>
          <w:p w14:paraId="324884D4" w14:textId="77777777" w:rsidR="005E21D3" w:rsidRPr="005E21D3" w:rsidRDefault="005E21D3" w:rsidP="005E21D3">
            <w:pPr>
              <w:pStyle w:val="HUDBody"/>
            </w:pPr>
            <w:r w:rsidRPr="005E21D3">
              <w:t>$828.34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C7D81" w14:textId="77777777" w:rsidR="005E21D3" w:rsidRPr="005E21D3" w:rsidRDefault="005E21D3" w:rsidP="005E21D3">
            <w:pPr>
              <w:pStyle w:val="HUDBody"/>
            </w:pPr>
            <w:r w:rsidRPr="005E21D3">
              <w:t>$207.09</w:t>
            </w:r>
          </w:p>
        </w:tc>
        <w:tc>
          <w:tcPr>
            <w:tcW w:w="2196" w:type="dxa"/>
            <w:tcBorders>
              <w:top w:val="single" w:sz="4" w:space="0" w:color="auto"/>
              <w:left w:val="single" w:sz="4" w:space="0" w:color="auto"/>
              <w:bottom w:val="single" w:sz="4" w:space="0" w:color="auto"/>
              <w:right w:val="single" w:sz="4" w:space="0" w:color="auto"/>
            </w:tcBorders>
            <w:vAlign w:val="center"/>
          </w:tcPr>
          <w:p w14:paraId="17077217" w14:textId="77777777" w:rsidR="005E21D3" w:rsidRPr="005E21D3" w:rsidRDefault="005E21D3" w:rsidP="005E21D3">
            <w:pPr>
              <w:pStyle w:val="HUDBody"/>
            </w:pPr>
            <w:r w:rsidRPr="005E21D3">
              <w:t>$0.00</w:t>
            </w:r>
          </w:p>
        </w:tc>
        <w:tc>
          <w:tcPr>
            <w:tcW w:w="1701" w:type="dxa"/>
            <w:tcBorders>
              <w:top w:val="single" w:sz="4" w:space="0" w:color="auto"/>
              <w:left w:val="single" w:sz="4" w:space="0" w:color="auto"/>
              <w:bottom w:val="single" w:sz="4" w:space="0" w:color="auto"/>
              <w:right w:val="single" w:sz="4" w:space="0" w:color="auto"/>
            </w:tcBorders>
            <w:vAlign w:val="center"/>
          </w:tcPr>
          <w:p w14:paraId="13B0A6FD" w14:textId="77777777" w:rsidR="005E21D3" w:rsidRPr="005E21D3" w:rsidRDefault="005E21D3" w:rsidP="005E21D3">
            <w:pPr>
              <w:pStyle w:val="HUDBody"/>
            </w:pPr>
            <w:r w:rsidRPr="005E21D3">
              <w:t>$207.00</w:t>
            </w:r>
          </w:p>
        </w:tc>
      </w:tr>
    </w:tbl>
    <w:p w14:paraId="7D793CC3" w14:textId="77777777" w:rsidR="005E21D3" w:rsidRDefault="005E21D3" w:rsidP="005E21D3">
      <w:pPr>
        <w:pStyle w:val="HUDBody"/>
      </w:pPr>
    </w:p>
    <w:p w14:paraId="368EA2F9" w14:textId="77777777" w:rsidR="005E21D3" w:rsidRPr="005E21D3" w:rsidRDefault="005E21D3" w:rsidP="005E21D3">
      <w:pPr>
        <w:pStyle w:val="HUDBody"/>
        <w:sectPr w:rsidR="005E21D3" w:rsidRPr="005E21D3" w:rsidSect="005E21D3">
          <w:pgSz w:w="16838" w:h="11906" w:orient="landscape"/>
          <w:pgMar w:top="1440" w:right="1440" w:bottom="1440" w:left="1440" w:header="708" w:footer="708" w:gutter="0"/>
          <w:cols w:space="708"/>
          <w:titlePg/>
          <w:docGrid w:linePitch="360"/>
        </w:sectPr>
      </w:pPr>
    </w:p>
    <w:p w14:paraId="7B9EAC4C" w14:textId="1AF5F38A" w:rsidR="005E21D3" w:rsidRDefault="005E21D3" w:rsidP="005E21D3">
      <w:pPr>
        <w:pStyle w:val="HUDHeading1"/>
      </w:pPr>
      <w:bookmarkStart w:id="106" w:name="AP7"/>
      <w:bookmarkStart w:id="107" w:name="_Toc208995985"/>
      <w:bookmarkEnd w:id="106"/>
      <w:r>
        <w:lastRenderedPageBreak/>
        <w:t xml:space="preserve">Appendix 7: </w:t>
      </w:r>
      <w:r w:rsidR="00117F5B">
        <w:t>C</w:t>
      </w:r>
      <w:r>
        <w:t xml:space="preserve">omments field in </w:t>
      </w:r>
      <w:r w:rsidR="0063239D">
        <w:t xml:space="preserve">the </w:t>
      </w:r>
      <w:r>
        <w:t>TVHM the provider must complete</w:t>
      </w:r>
      <w:bookmarkEnd w:id="107"/>
    </w:p>
    <w:p w14:paraId="52139A1D" w14:textId="46ECD181" w:rsidR="005E21D3" w:rsidRPr="005E21D3" w:rsidRDefault="005E21D3" w:rsidP="005E21D3">
      <w:pPr>
        <w:pStyle w:val="HUDBody"/>
      </w:pPr>
      <w:r w:rsidRPr="005E21D3">
        <w:t>You must state what the security deposit amount is (that you have discussed with the household)</w:t>
      </w:r>
      <w:r w:rsidR="0063239D">
        <w:t>. I</w:t>
      </w:r>
      <w:r w:rsidRPr="005E21D3">
        <w:t>f th</w:t>
      </w:r>
      <w:r w:rsidR="0063239D">
        <w:t>e</w:t>
      </w:r>
      <w:r w:rsidRPr="005E21D3">
        <w:t xml:space="preserve"> amount exceeds the maximum amount in MSD’s guidelines, you must provide an explanation why</w:t>
      </w:r>
      <w:r w:rsidR="0063239D">
        <w:t xml:space="preserve"> </w:t>
      </w:r>
      <w:r w:rsidRPr="005E21D3">
        <w:t>in the comments field as per</w:t>
      </w:r>
      <w:r w:rsidR="0063239D">
        <w:t xml:space="preserve"> the</w:t>
      </w:r>
      <w:r w:rsidRPr="005E21D3">
        <w:t xml:space="preserve"> screenshot below.</w:t>
      </w:r>
    </w:p>
    <w:p w14:paraId="19930897" w14:textId="78A6AF45" w:rsidR="005E21D3" w:rsidRPr="005E21D3" w:rsidRDefault="005E21D3" w:rsidP="005E21D3">
      <w:pPr>
        <w:pStyle w:val="HUDBody"/>
      </w:pPr>
      <w:r w:rsidRPr="00980E20">
        <w:rPr>
          <w:noProof/>
          <w:sz w:val="22"/>
        </w:rPr>
        <w:drawing>
          <wp:anchor distT="0" distB="0" distL="114300" distR="114300" simplePos="0" relativeHeight="251658244" behindDoc="0" locked="0" layoutInCell="1" allowOverlap="1" wp14:anchorId="2D9ED909" wp14:editId="41F9088F">
            <wp:simplePos x="0" y="0"/>
            <wp:positionH relativeFrom="column">
              <wp:posOffset>0</wp:posOffset>
            </wp:positionH>
            <wp:positionV relativeFrom="paragraph">
              <wp:posOffset>276225</wp:posOffset>
            </wp:positionV>
            <wp:extent cx="4544695" cy="3933825"/>
            <wp:effectExtent l="0" t="0" r="8255" b="9525"/>
            <wp:wrapSquare wrapText="bothSides"/>
            <wp:docPr id="1985098944" name="Picture 198509894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98944" name="Picture 1985098944" descr="A screenshot of a computer&#10;&#10;Description automatically generated"/>
                    <pic:cNvPicPr/>
                  </pic:nvPicPr>
                  <pic:blipFill>
                    <a:blip r:embed="rId63">
                      <a:extLst>
                        <a:ext uri="{28A0092B-C50C-407E-A947-70E740481C1C}">
                          <a14:useLocalDpi xmlns:a14="http://schemas.microsoft.com/office/drawing/2010/main" val="0"/>
                        </a:ext>
                      </a:extLst>
                    </a:blip>
                    <a:stretch>
                      <a:fillRect/>
                    </a:stretch>
                  </pic:blipFill>
                  <pic:spPr>
                    <a:xfrm>
                      <a:off x="0" y="0"/>
                      <a:ext cx="4544695" cy="3933825"/>
                    </a:xfrm>
                    <a:prstGeom prst="rect">
                      <a:avLst/>
                    </a:prstGeom>
                  </pic:spPr>
                </pic:pic>
              </a:graphicData>
            </a:graphic>
            <wp14:sizeRelH relativeFrom="page">
              <wp14:pctWidth>0</wp14:pctWidth>
            </wp14:sizeRelH>
            <wp14:sizeRelV relativeFrom="page">
              <wp14:pctHeight>0</wp14:pctHeight>
            </wp14:sizeRelV>
          </wp:anchor>
        </w:drawing>
      </w:r>
    </w:p>
    <w:sectPr w:rsidR="005E21D3" w:rsidRPr="005E21D3" w:rsidSect="005E21D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85C0" w14:textId="77777777" w:rsidR="00543955" w:rsidRDefault="00543955" w:rsidP="00C80640">
      <w:pPr>
        <w:spacing w:after="0" w:line="240" w:lineRule="auto"/>
      </w:pPr>
      <w:r>
        <w:separator/>
      </w:r>
    </w:p>
  </w:endnote>
  <w:endnote w:type="continuationSeparator" w:id="0">
    <w:p w14:paraId="2D8E316B" w14:textId="77777777" w:rsidR="00543955" w:rsidRDefault="00543955" w:rsidP="00C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FBC8" w14:textId="77777777" w:rsidR="00C80640" w:rsidRDefault="00C80640">
    <w:pPr>
      <w:pStyle w:val="Footer"/>
    </w:pPr>
    <w:r>
      <w:rPr>
        <w:noProof/>
        <w14:ligatures w14:val="standardContextual"/>
      </w:rPr>
      <mc:AlternateContent>
        <mc:Choice Requires="wps">
          <w:drawing>
            <wp:anchor distT="0" distB="0" distL="0" distR="0" simplePos="0" relativeHeight="251658241" behindDoc="0" locked="0" layoutInCell="1" allowOverlap="1" wp14:anchorId="7335F29A" wp14:editId="77A8F980">
              <wp:simplePos x="635" y="635"/>
              <wp:positionH relativeFrom="page">
                <wp:align>center</wp:align>
              </wp:positionH>
              <wp:positionV relativeFrom="page">
                <wp:align>bottom</wp:align>
              </wp:positionV>
              <wp:extent cx="815340" cy="368935"/>
              <wp:effectExtent l="0" t="0" r="3810" b="0"/>
              <wp:wrapNone/>
              <wp:docPr id="105496528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FE9E25B"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5F29A"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h2CgIAABU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" filled="f" stroked="f">
              <v:textbox style="mso-fit-shape-to-text:t" inset="0,0,0,15pt">
                <w:txbxContent>
                  <w:p w14:paraId="0FE9E25B"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0D41" w14:textId="77777777" w:rsidR="00C80640" w:rsidRDefault="00C80640" w:rsidP="00F564CD">
    <w:pPr>
      <w:pStyle w:val="Footer"/>
      <w:tabs>
        <w:tab w:val="clear" w:pos="4513"/>
        <w:tab w:val="clear" w:pos="9026"/>
        <w:tab w:val="center" w:pos="8364"/>
      </w:tabs>
    </w:pPr>
    <w:r>
      <w:rPr>
        <w:noProof/>
        <w14:ligatures w14:val="standardContextual"/>
      </w:rPr>
      <mc:AlternateContent>
        <mc:Choice Requires="wps">
          <w:drawing>
            <wp:anchor distT="0" distB="0" distL="0" distR="0" simplePos="0" relativeHeight="251658242" behindDoc="0" locked="0" layoutInCell="1" allowOverlap="1" wp14:anchorId="28789192" wp14:editId="3475616F">
              <wp:simplePos x="635" y="635"/>
              <wp:positionH relativeFrom="page">
                <wp:align>center</wp:align>
              </wp:positionH>
              <wp:positionV relativeFrom="page">
                <wp:align>bottom</wp:align>
              </wp:positionV>
              <wp:extent cx="815340" cy="368935"/>
              <wp:effectExtent l="0" t="0" r="3810" b="0"/>
              <wp:wrapNone/>
              <wp:docPr id="1467392772"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DC0A7A"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89192"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" filled="f" stroked="f">
              <v:textbox style="mso-fit-shape-to-text:t" inset="0,0,0,15pt">
                <w:txbxContent>
                  <w:p w14:paraId="24DC0A7A"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r w:rsidRPr="004A35F6">
      <w:tab/>
    </w:r>
    <w:r>
      <w:ptab w:relativeTo="margin" w:alignment="right" w:leader="none"/>
    </w:r>
    <w:r w:rsidRPr="004A35F6">
      <w:fldChar w:fldCharType="begin"/>
    </w:r>
    <w:r w:rsidRPr="004A35F6">
      <w:instrText xml:space="preserve"> PAGE   \* MERGEFORMAT </w:instrText>
    </w:r>
    <w:r w:rsidRPr="004A35F6">
      <w:fldChar w:fldCharType="separate"/>
    </w:r>
    <w:r>
      <w:rPr>
        <w:noProof/>
      </w:rPr>
      <w:t>1</w:t>
    </w:r>
    <w:r w:rsidRPr="004A35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7F3B" w14:textId="037E6DE5" w:rsidR="00C80640" w:rsidRDefault="00C80640" w:rsidP="00F564CD">
    <w:pPr>
      <w:pStyle w:val="Footer"/>
      <w:tabs>
        <w:tab w:val="clear" w:pos="4513"/>
        <w:tab w:val="clear" w:pos="9026"/>
        <w:tab w:val="right" w:pos="9922"/>
      </w:tabs>
    </w:pPr>
    <w:r>
      <w:rPr>
        <w:noProof/>
        <w14:ligatures w14:val="standardContextual"/>
      </w:rPr>
      <mc:AlternateContent>
        <mc:Choice Requires="wps">
          <w:drawing>
            <wp:anchor distT="0" distB="0" distL="0" distR="0" simplePos="0" relativeHeight="251658240" behindDoc="0" locked="0" layoutInCell="1" allowOverlap="1" wp14:anchorId="1627BF89" wp14:editId="0DEBA6F1">
              <wp:simplePos x="635" y="635"/>
              <wp:positionH relativeFrom="page">
                <wp:align>center</wp:align>
              </wp:positionH>
              <wp:positionV relativeFrom="page">
                <wp:align>bottom</wp:align>
              </wp:positionV>
              <wp:extent cx="815340" cy="368935"/>
              <wp:effectExtent l="0" t="0" r="3810" b="0"/>
              <wp:wrapNone/>
              <wp:docPr id="1258128256"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DB3F4A7"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7BF89" id="_x0000_t202" coordsize="21600,21600" o:spt="202" path="m,l,21600r21600,l21600,xe">
              <v:stroke joinstyle="miter"/>
              <v:path gradientshapeok="t" o:connecttype="rect"/>
            </v:shapetype>
            <v:shape id="Text Box 1" o:spid="_x0000_s1029"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6DB3F4A7"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r w:rsidRPr="004A35F6">
      <w:tab/>
    </w:r>
    <w:r w:rsidR="005E21D3">
      <w:tab/>
      <w:t xml:space="preserve">                                                      </w:t>
    </w:r>
    <w:r w:rsidRPr="004A35F6">
      <w:fldChar w:fldCharType="begin"/>
    </w:r>
    <w:r w:rsidRPr="004A35F6">
      <w:instrText xml:space="preserve"> PAGE   \* MERGEFORMAT </w:instrText>
    </w:r>
    <w:r w:rsidRPr="004A35F6">
      <w:fldChar w:fldCharType="separate"/>
    </w:r>
    <w:r>
      <w:t>2</w:t>
    </w:r>
    <w:r w:rsidRPr="004A35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6598" w14:textId="77777777" w:rsidR="00543955" w:rsidRDefault="00543955" w:rsidP="00C80640">
      <w:pPr>
        <w:spacing w:after="0" w:line="240" w:lineRule="auto"/>
      </w:pPr>
      <w:r>
        <w:separator/>
      </w:r>
    </w:p>
  </w:footnote>
  <w:footnote w:type="continuationSeparator" w:id="0">
    <w:p w14:paraId="0558B4BB" w14:textId="77777777" w:rsidR="00543955" w:rsidRDefault="00543955" w:rsidP="00C80640">
      <w:pPr>
        <w:spacing w:after="0" w:line="240" w:lineRule="auto"/>
      </w:pPr>
      <w:r>
        <w:continuationSeparator/>
      </w:r>
    </w:p>
  </w:footnote>
  <w:footnote w:id="1">
    <w:p w14:paraId="567376C1" w14:textId="77777777" w:rsidR="001025AA" w:rsidRDefault="001025AA" w:rsidP="001025AA">
      <w:pPr>
        <w:pStyle w:val="FootnoteText"/>
      </w:pPr>
      <w:r>
        <w:rPr>
          <w:rStyle w:val="FootnoteReference"/>
        </w:rPr>
        <w:footnoteRef/>
      </w:r>
      <w:r>
        <w:t xml:space="preserve"> </w:t>
      </w:r>
      <w:r w:rsidRPr="00DB73CD">
        <w:t>This is not applicable for transitional housing accommodation provided by motels.</w:t>
      </w:r>
    </w:p>
  </w:footnote>
  <w:footnote w:id="2">
    <w:p w14:paraId="39DA68D4" w14:textId="2875E42B" w:rsidR="00DB73CD" w:rsidRDefault="00DB73CD">
      <w:pPr>
        <w:pStyle w:val="FootnoteText"/>
      </w:pPr>
      <w:r>
        <w:rPr>
          <w:rStyle w:val="FootnoteReference"/>
        </w:rPr>
        <w:footnoteRef/>
      </w:r>
      <w:r>
        <w:t xml:space="preserve"> </w:t>
      </w:r>
      <w:r w:rsidRPr="00DB73CD">
        <w:t xml:space="preserve">Providers must have </w:t>
      </w:r>
      <w:r w:rsidR="00557C18">
        <w:t>l</w:t>
      </w:r>
      <w:r w:rsidRPr="00DB73CD">
        <w:t xml:space="preserve">evel 3 </w:t>
      </w:r>
      <w:r w:rsidR="00557C18">
        <w:t>s</w:t>
      </w:r>
      <w:r w:rsidRPr="00DB73CD">
        <w:t xml:space="preserve">ocial </w:t>
      </w:r>
      <w:r w:rsidR="00557C18">
        <w:t>s</w:t>
      </w:r>
      <w:r w:rsidRPr="00DB73CD">
        <w:t xml:space="preserve">ervices </w:t>
      </w:r>
      <w:r w:rsidR="00557C18">
        <w:t>a</w:t>
      </w:r>
      <w:r w:rsidRPr="00DB73CD">
        <w:t xml:space="preserve">ccreditation (which requires vetting). </w:t>
      </w:r>
      <w:hyperlink r:id="rId1" w:history="1">
        <w:r w:rsidR="00557C18" w:rsidRPr="0001274A">
          <w:rPr>
            <w:rStyle w:val="Hyperlink"/>
          </w:rPr>
          <w:t>https://www.xn--tekhuikhu-7bbe.govt.nz/assets/accreditation-approval/social-sector-accreditation-standards/level-3-social-sector-accreditation-standards.pdf</w:t>
        </w:r>
      </w:hyperlink>
      <w:r w:rsidR="00557C18">
        <w:t xml:space="preserve">. </w:t>
      </w:r>
    </w:p>
  </w:footnote>
  <w:footnote w:id="3">
    <w:p w14:paraId="1F4FDDC0" w14:textId="0219878E" w:rsidR="00DB73CD" w:rsidRDefault="00DB73CD">
      <w:pPr>
        <w:pStyle w:val="FootnoteText"/>
      </w:pPr>
      <w:r>
        <w:rPr>
          <w:rStyle w:val="FootnoteReference"/>
        </w:rPr>
        <w:footnoteRef/>
      </w:r>
      <w:r>
        <w:t xml:space="preserve"> </w:t>
      </w:r>
      <w:r w:rsidRPr="00DB73CD">
        <w:t>Serious incidents that involve or potentially involve significant harm, emergency services, or WorkSafe involvemen</w:t>
      </w:r>
      <w:r>
        <w:t>t</w:t>
      </w:r>
      <w:r w:rsidR="00557C18">
        <w:t>.</w:t>
      </w:r>
    </w:p>
  </w:footnote>
  <w:footnote w:id="4">
    <w:p w14:paraId="19F8358B" w14:textId="363729F9" w:rsidR="00DB73CD" w:rsidRDefault="00DB73CD">
      <w:pPr>
        <w:pStyle w:val="FootnoteText"/>
      </w:pPr>
      <w:r>
        <w:rPr>
          <w:rStyle w:val="FootnoteReference"/>
        </w:rPr>
        <w:footnoteRef/>
      </w:r>
      <w:r>
        <w:t xml:space="preserve"> </w:t>
      </w:r>
      <w:r w:rsidRPr="00DB73CD">
        <w:t>Incidents that don't pose significant risk of serious harm or don't require emergency services.</w:t>
      </w:r>
    </w:p>
  </w:footnote>
  <w:footnote w:id="5">
    <w:p w14:paraId="63949B2B" w14:textId="4DBF1FFC" w:rsidR="002530CF" w:rsidRDefault="002530CF">
      <w:pPr>
        <w:pStyle w:val="FootnoteText"/>
      </w:pPr>
      <w:r>
        <w:rPr>
          <w:rStyle w:val="FootnoteReference"/>
        </w:rPr>
        <w:footnoteRef/>
      </w:r>
      <w:r>
        <w:t xml:space="preserve"> </w:t>
      </w:r>
      <w:r w:rsidRPr="002530CF">
        <w:t xml:space="preserve">Note, the primary purpose of the </w:t>
      </w:r>
      <w:r w:rsidR="000B3225">
        <w:t>special needs grant</w:t>
      </w:r>
      <w:r w:rsidR="000B3225" w:rsidRPr="002530CF">
        <w:t xml:space="preserve"> </w:t>
      </w:r>
      <w:r w:rsidRPr="002530CF">
        <w:t>is to cover damage claims, much like a bond with the Residential Tenancies Act 2020.</w:t>
      </w:r>
    </w:p>
  </w:footnote>
  <w:footnote w:id="6">
    <w:p w14:paraId="5241DC2D" w14:textId="219C5A46" w:rsidR="002530CF" w:rsidRDefault="002530CF">
      <w:pPr>
        <w:pStyle w:val="FootnoteText"/>
      </w:pPr>
      <w:r>
        <w:rPr>
          <w:rStyle w:val="FootnoteReference"/>
        </w:rPr>
        <w:footnoteRef/>
      </w:r>
      <w:r>
        <w:t xml:space="preserve"> </w:t>
      </w:r>
      <w:r w:rsidRPr="002530CF">
        <w:t>In contrast to any ongoing support services that may be provided to the household.</w:t>
      </w:r>
    </w:p>
  </w:footnote>
  <w:footnote w:id="7">
    <w:p w14:paraId="6726BF90" w14:textId="3AD3C681" w:rsidR="005232BD" w:rsidRDefault="005232BD">
      <w:pPr>
        <w:pStyle w:val="FootnoteText"/>
      </w:pPr>
      <w:r>
        <w:rPr>
          <w:rStyle w:val="FootnoteReference"/>
        </w:rPr>
        <w:footnoteRef/>
      </w:r>
      <w:r>
        <w:t xml:space="preserve"> </w:t>
      </w:r>
      <w:r w:rsidRPr="005232BD">
        <w:t>When a household has moved to alternative housing, the household or a household member has died, the property has been abandoned or there has been a breach or breaches of the housing agreement.</w:t>
      </w:r>
    </w:p>
  </w:footnote>
  <w:footnote w:id="8">
    <w:p w14:paraId="5B210CCB" w14:textId="393428CA" w:rsidR="005232BD" w:rsidRDefault="005232BD">
      <w:pPr>
        <w:pStyle w:val="FootnoteText"/>
      </w:pPr>
      <w:r>
        <w:rPr>
          <w:rStyle w:val="FootnoteReference"/>
        </w:rPr>
        <w:footnoteRef/>
      </w:r>
      <w:r>
        <w:t xml:space="preserve"> </w:t>
      </w:r>
      <w:r w:rsidRPr="005232BD">
        <w:t>An earlier record-sharing/storage file system.</w:t>
      </w:r>
    </w:p>
  </w:footnote>
  <w:footnote w:id="9">
    <w:p w14:paraId="2A9B8B96" w14:textId="399BEA41" w:rsidR="005E21D3" w:rsidRDefault="005E21D3">
      <w:pPr>
        <w:pStyle w:val="FootnoteText"/>
      </w:pPr>
      <w:r>
        <w:rPr>
          <w:rStyle w:val="FootnoteReference"/>
        </w:rPr>
        <w:footnoteRef/>
      </w:r>
      <w:r>
        <w:t xml:space="preserve"> </w:t>
      </w:r>
      <w:r w:rsidRPr="001C4671">
        <w:rPr>
          <w:szCs w:val="18"/>
        </w:rPr>
        <w:t>New Zealand Superannuation and Veterans pensions are paid fortnightly. To confirm the start date, you should call your MSD contact person.</w:t>
      </w:r>
    </w:p>
  </w:footnote>
  <w:footnote w:id="10">
    <w:p w14:paraId="33944A0D" w14:textId="383AE2A2" w:rsidR="005E21D3" w:rsidRDefault="005E21D3">
      <w:pPr>
        <w:pStyle w:val="FootnoteText"/>
      </w:pPr>
      <w:r>
        <w:rPr>
          <w:rStyle w:val="FootnoteReference"/>
        </w:rPr>
        <w:footnoteRef/>
      </w:r>
      <w:r>
        <w:t xml:space="preserve"> </w:t>
      </w:r>
      <w:r w:rsidRPr="00980E20">
        <w:t>Note, the use of this form should be limited and phased out, as it</w:t>
      </w:r>
      <w:r w:rsidR="000A7333">
        <w:t>’</w:t>
      </w:r>
      <w:r w:rsidRPr="00980E20">
        <w:t xml:space="preserve">s not under </w:t>
      </w:r>
      <w:r w:rsidR="000A7333">
        <w:t>special needs grant</w:t>
      </w:r>
      <w:r w:rsidR="000A7333" w:rsidRPr="00980E20">
        <w:t xml:space="preserve"> </w:t>
      </w:r>
      <w:r w:rsidRPr="00980E20">
        <w:t>legislation anymore.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1D32" w14:textId="77777777" w:rsidR="00C80640" w:rsidRDefault="00C80640">
    <w:pPr>
      <w:pStyle w:val="Header"/>
    </w:pPr>
  </w:p>
  <w:p w14:paraId="53EFF47C" w14:textId="77777777" w:rsidR="00C80640" w:rsidRDefault="00C8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6626"/>
    <w:multiLevelType w:val="multilevel"/>
    <w:tmpl w:val="A9386E0E"/>
    <w:lvl w:ilvl="0">
      <w:start w:val="1"/>
      <w:numFmt w:val="decimal"/>
      <w:lvlText w:val="%1."/>
      <w:lvlJc w:val="left"/>
      <w:pPr>
        <w:ind w:left="720" w:hanging="72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37747E"/>
    <w:multiLevelType w:val="hybridMultilevel"/>
    <w:tmpl w:val="51102A4E"/>
    <w:lvl w:ilvl="0" w:tplc="6BD2E846">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061778"/>
    <w:multiLevelType w:val="multilevel"/>
    <w:tmpl w:val="BC4AF6B0"/>
    <w:lvl w:ilvl="0">
      <w:start w:val="1"/>
      <w:numFmt w:val="decimal"/>
      <w:lvlText w:val="%1."/>
      <w:lvlJc w:val="left"/>
      <w:pPr>
        <w:ind w:left="720" w:hanging="72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A386987"/>
    <w:multiLevelType w:val="hybridMultilevel"/>
    <w:tmpl w:val="6ADCF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4531B21"/>
    <w:multiLevelType w:val="multilevel"/>
    <w:tmpl w:val="809C6808"/>
    <w:lvl w:ilvl="0">
      <w:start w:val="1"/>
      <w:numFmt w:val="decimal"/>
      <w:pStyle w:val="HUDList"/>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302E0E"/>
    <w:multiLevelType w:val="multilevel"/>
    <w:tmpl w:val="79C04342"/>
    <w:lvl w:ilvl="0">
      <w:start w:val="1"/>
      <w:numFmt w:val="decimal"/>
      <w:lvlText w:val="%1."/>
      <w:lvlJc w:val="left"/>
      <w:pPr>
        <w:ind w:left="720" w:hanging="72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87503C6"/>
    <w:multiLevelType w:val="multilevel"/>
    <w:tmpl w:val="D9AE8B5C"/>
    <w:lvl w:ilvl="0">
      <w:start w:val="1"/>
      <w:numFmt w:val="bullet"/>
      <w:pStyle w:val="HUDBullets"/>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cs="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cs="Courier New" w:hint="default"/>
      </w:rPr>
    </w:lvl>
    <w:lvl w:ilvl="8">
      <w:start w:val="1"/>
      <w:numFmt w:val="bullet"/>
      <w:lvlText w:val=""/>
      <w:lvlJc w:val="left"/>
      <w:pPr>
        <w:ind w:left="22485" w:hanging="360"/>
      </w:pPr>
      <w:rPr>
        <w:rFonts w:ascii="Wingdings" w:hAnsi="Wingdings" w:hint="default"/>
      </w:rPr>
    </w:lvl>
  </w:abstractNum>
  <w:abstractNum w:abstractNumId="7" w15:restartNumberingAfterBreak="0">
    <w:nsid w:val="727C57DB"/>
    <w:multiLevelType w:val="hybridMultilevel"/>
    <w:tmpl w:val="522A6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4B64C8D"/>
    <w:multiLevelType w:val="hybridMultilevel"/>
    <w:tmpl w:val="23582B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14266057">
    <w:abstractNumId w:val="6"/>
  </w:num>
  <w:num w:numId="2" w16cid:durableId="806095187">
    <w:abstractNumId w:val="4"/>
  </w:num>
  <w:num w:numId="3" w16cid:durableId="1040010457">
    <w:abstractNumId w:val="8"/>
  </w:num>
  <w:num w:numId="4" w16cid:durableId="915355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264164">
    <w:abstractNumId w:val="4"/>
  </w:num>
  <w:num w:numId="6" w16cid:durableId="1396464079">
    <w:abstractNumId w:val="4"/>
  </w:num>
  <w:num w:numId="7" w16cid:durableId="1531257345">
    <w:abstractNumId w:val="4"/>
  </w:num>
  <w:num w:numId="8" w16cid:durableId="1085152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3392225">
    <w:abstractNumId w:val="4"/>
  </w:num>
  <w:num w:numId="10" w16cid:durableId="651520191">
    <w:abstractNumId w:val="3"/>
  </w:num>
  <w:num w:numId="11" w16cid:durableId="697657061">
    <w:abstractNumId w:val="1"/>
  </w:num>
  <w:num w:numId="12" w16cid:durableId="1003238774">
    <w:abstractNumId w:val="7"/>
  </w:num>
  <w:num w:numId="13" w16cid:durableId="207839206">
    <w:abstractNumId w:val="0"/>
  </w:num>
  <w:num w:numId="14" w16cid:durableId="371075833">
    <w:abstractNumId w:val="5"/>
  </w:num>
  <w:num w:numId="15" w16cid:durableId="170996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B5"/>
    <w:rsid w:val="00006529"/>
    <w:rsid w:val="000535BA"/>
    <w:rsid w:val="000668B2"/>
    <w:rsid w:val="00067A69"/>
    <w:rsid w:val="000704E5"/>
    <w:rsid w:val="000773C3"/>
    <w:rsid w:val="00083AB3"/>
    <w:rsid w:val="00092BE3"/>
    <w:rsid w:val="000A7333"/>
    <w:rsid w:val="000B3225"/>
    <w:rsid w:val="000C5A7C"/>
    <w:rsid w:val="000C710E"/>
    <w:rsid w:val="000F2244"/>
    <w:rsid w:val="000F54D0"/>
    <w:rsid w:val="001025AA"/>
    <w:rsid w:val="00117F5B"/>
    <w:rsid w:val="001406AE"/>
    <w:rsid w:val="0014705C"/>
    <w:rsid w:val="00190759"/>
    <w:rsid w:val="001B4562"/>
    <w:rsid w:val="001C2E6B"/>
    <w:rsid w:val="001D2B52"/>
    <w:rsid w:val="00202DB0"/>
    <w:rsid w:val="00203939"/>
    <w:rsid w:val="00225570"/>
    <w:rsid w:val="00234BF8"/>
    <w:rsid w:val="00252427"/>
    <w:rsid w:val="002530CF"/>
    <w:rsid w:val="00253170"/>
    <w:rsid w:val="0025799F"/>
    <w:rsid w:val="00262CD8"/>
    <w:rsid w:val="0026501F"/>
    <w:rsid w:val="002677A3"/>
    <w:rsid w:val="00275648"/>
    <w:rsid w:val="0028053C"/>
    <w:rsid w:val="00280818"/>
    <w:rsid w:val="002A61F3"/>
    <w:rsid w:val="002B1CB1"/>
    <w:rsid w:val="002C090F"/>
    <w:rsid w:val="002C37F4"/>
    <w:rsid w:val="002F50E8"/>
    <w:rsid w:val="00300A9E"/>
    <w:rsid w:val="003167B8"/>
    <w:rsid w:val="003410B8"/>
    <w:rsid w:val="003639BD"/>
    <w:rsid w:val="0038005D"/>
    <w:rsid w:val="00397515"/>
    <w:rsid w:val="003F3E36"/>
    <w:rsid w:val="0043412F"/>
    <w:rsid w:val="0046232B"/>
    <w:rsid w:val="004856B1"/>
    <w:rsid w:val="004B7DD0"/>
    <w:rsid w:val="004C4001"/>
    <w:rsid w:val="004F5494"/>
    <w:rsid w:val="005232BD"/>
    <w:rsid w:val="005234C9"/>
    <w:rsid w:val="00523833"/>
    <w:rsid w:val="0053166F"/>
    <w:rsid w:val="0054074F"/>
    <w:rsid w:val="00543955"/>
    <w:rsid w:val="00554FDD"/>
    <w:rsid w:val="00557C18"/>
    <w:rsid w:val="00571900"/>
    <w:rsid w:val="00585B1F"/>
    <w:rsid w:val="0058705F"/>
    <w:rsid w:val="005D0DF4"/>
    <w:rsid w:val="005E21D3"/>
    <w:rsid w:val="005E7ACE"/>
    <w:rsid w:val="00617CD1"/>
    <w:rsid w:val="0063040C"/>
    <w:rsid w:val="00631D6E"/>
    <w:rsid w:val="0063239D"/>
    <w:rsid w:val="00632A47"/>
    <w:rsid w:val="0068057C"/>
    <w:rsid w:val="00686C37"/>
    <w:rsid w:val="00693871"/>
    <w:rsid w:val="006D0914"/>
    <w:rsid w:val="006E6C45"/>
    <w:rsid w:val="006F4EBF"/>
    <w:rsid w:val="00701543"/>
    <w:rsid w:val="00723EEC"/>
    <w:rsid w:val="007373B1"/>
    <w:rsid w:val="00771482"/>
    <w:rsid w:val="00776422"/>
    <w:rsid w:val="00776707"/>
    <w:rsid w:val="00790D38"/>
    <w:rsid w:val="007B07A7"/>
    <w:rsid w:val="007D2355"/>
    <w:rsid w:val="007D441F"/>
    <w:rsid w:val="007F4135"/>
    <w:rsid w:val="007F458C"/>
    <w:rsid w:val="0082045D"/>
    <w:rsid w:val="008257B8"/>
    <w:rsid w:val="008271E2"/>
    <w:rsid w:val="008462D2"/>
    <w:rsid w:val="00852695"/>
    <w:rsid w:val="00865145"/>
    <w:rsid w:val="0089320E"/>
    <w:rsid w:val="00893F50"/>
    <w:rsid w:val="008D743E"/>
    <w:rsid w:val="008E13B2"/>
    <w:rsid w:val="008E56E4"/>
    <w:rsid w:val="009036DD"/>
    <w:rsid w:val="00912E9F"/>
    <w:rsid w:val="0093428E"/>
    <w:rsid w:val="009376FA"/>
    <w:rsid w:val="00941E62"/>
    <w:rsid w:val="00945348"/>
    <w:rsid w:val="00956681"/>
    <w:rsid w:val="009A5BD0"/>
    <w:rsid w:val="009C1E9D"/>
    <w:rsid w:val="009C3C6C"/>
    <w:rsid w:val="009D133B"/>
    <w:rsid w:val="009D3352"/>
    <w:rsid w:val="009E1289"/>
    <w:rsid w:val="00A22F92"/>
    <w:rsid w:val="00A534C1"/>
    <w:rsid w:val="00A71DC7"/>
    <w:rsid w:val="00A74E9A"/>
    <w:rsid w:val="00A9447D"/>
    <w:rsid w:val="00A96152"/>
    <w:rsid w:val="00AD2874"/>
    <w:rsid w:val="00AD77EE"/>
    <w:rsid w:val="00AE53BF"/>
    <w:rsid w:val="00AE56E9"/>
    <w:rsid w:val="00B04939"/>
    <w:rsid w:val="00B155DE"/>
    <w:rsid w:val="00B668CE"/>
    <w:rsid w:val="00B91135"/>
    <w:rsid w:val="00BC7A50"/>
    <w:rsid w:val="00BF273A"/>
    <w:rsid w:val="00BF7E49"/>
    <w:rsid w:val="00C06329"/>
    <w:rsid w:val="00C20178"/>
    <w:rsid w:val="00C24BD6"/>
    <w:rsid w:val="00C32822"/>
    <w:rsid w:val="00C76A00"/>
    <w:rsid w:val="00C80640"/>
    <w:rsid w:val="00CB63A3"/>
    <w:rsid w:val="00D23A69"/>
    <w:rsid w:val="00DA0668"/>
    <w:rsid w:val="00DB73CD"/>
    <w:rsid w:val="00DC61E7"/>
    <w:rsid w:val="00DD19B4"/>
    <w:rsid w:val="00DD7298"/>
    <w:rsid w:val="00DF62A8"/>
    <w:rsid w:val="00E014C2"/>
    <w:rsid w:val="00E05682"/>
    <w:rsid w:val="00E222A6"/>
    <w:rsid w:val="00E55658"/>
    <w:rsid w:val="00E55E0C"/>
    <w:rsid w:val="00E64098"/>
    <w:rsid w:val="00E734FF"/>
    <w:rsid w:val="00E80155"/>
    <w:rsid w:val="00E83FB5"/>
    <w:rsid w:val="00E965CE"/>
    <w:rsid w:val="00EA6D57"/>
    <w:rsid w:val="00EE0FD4"/>
    <w:rsid w:val="00EF0B8F"/>
    <w:rsid w:val="00F315B8"/>
    <w:rsid w:val="00F4237B"/>
    <w:rsid w:val="00F45D06"/>
    <w:rsid w:val="00F550C1"/>
    <w:rsid w:val="00F564CD"/>
    <w:rsid w:val="00F80F7B"/>
    <w:rsid w:val="00F87FDD"/>
    <w:rsid w:val="00F94955"/>
    <w:rsid w:val="00F97978"/>
    <w:rsid w:val="00FB5C68"/>
    <w:rsid w:val="00FB6BD5"/>
    <w:rsid w:val="00FD044F"/>
    <w:rsid w:val="00FD6B05"/>
    <w:rsid w:val="00FE1933"/>
    <w:rsid w:val="0729A93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DB226"/>
  <w15:chartTrackingRefBased/>
  <w15:docId w15:val="{B8319294-32E5-411D-A5EC-43CD02C8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5B1F"/>
    <w:pPr>
      <w:spacing w:after="120" w:line="276" w:lineRule="auto"/>
    </w:pPr>
    <w:rPr>
      <w:rFonts w:eastAsiaTheme="minorHAnsi"/>
      <w:color w:val="auto"/>
      <w:kern w:val="0"/>
      <w:szCs w:val="22"/>
      <w:lang w:eastAsia="en-US" w:bidi="ar-SA"/>
      <w14:ligatures w14:val="none"/>
    </w:rPr>
  </w:style>
  <w:style w:type="paragraph" w:styleId="Heading1">
    <w:name w:val="heading 1"/>
    <w:basedOn w:val="Normal"/>
    <w:next w:val="Normal"/>
    <w:link w:val="Heading1Char"/>
    <w:uiPriority w:val="9"/>
    <w:rsid w:val="00C8064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C8064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8064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806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06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6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6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6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4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8064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8064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80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0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0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640"/>
    <w:rPr>
      <w:rFonts w:asciiTheme="minorHAnsi" w:eastAsiaTheme="majorEastAsia" w:hAnsiTheme="minorHAnsi" w:cstheme="majorBidi"/>
      <w:color w:val="272727" w:themeColor="text1" w:themeTint="D8"/>
    </w:rPr>
  </w:style>
  <w:style w:type="character" w:styleId="SubtleEmphasis">
    <w:name w:val="Subtle Emphasis"/>
    <w:basedOn w:val="DefaultParagraphFont"/>
    <w:uiPriority w:val="19"/>
    <w:rsid w:val="00C80640"/>
    <w:rPr>
      <w:i/>
      <w:iCs/>
      <w:color w:val="404040" w:themeColor="text1" w:themeTint="BF"/>
    </w:rPr>
  </w:style>
  <w:style w:type="paragraph" w:styleId="Subtitle">
    <w:name w:val="Subtitle"/>
    <w:basedOn w:val="Normal"/>
    <w:next w:val="Normal"/>
    <w:link w:val="SubtitleChar"/>
    <w:uiPriority w:val="11"/>
    <w:rsid w:val="00C80640"/>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80640"/>
    <w:rPr>
      <w:rFonts w:asciiTheme="minorHAnsi" w:eastAsiaTheme="majorEastAsia" w:hAnsiTheme="minorHAnsi" w:cstheme="majorBidi"/>
      <w:color w:val="595959" w:themeColor="text1" w:themeTint="A6"/>
      <w:spacing w:val="15"/>
      <w:sz w:val="28"/>
      <w:szCs w:val="35"/>
    </w:rPr>
  </w:style>
  <w:style w:type="paragraph" w:customStyle="1" w:styleId="HUDHeading1">
    <w:name w:val="HUD_Heading 1"/>
    <w:basedOn w:val="Heading2"/>
    <w:qFormat/>
    <w:rsid w:val="00C80640"/>
    <w:pPr>
      <w:keepNext w:val="0"/>
      <w:keepLines w:val="0"/>
      <w:spacing w:before="0" w:after="480" w:line="259" w:lineRule="auto"/>
      <w:outlineLvl w:val="0"/>
    </w:pPr>
    <w:rPr>
      <w:rFonts w:ascii="Arial" w:eastAsiaTheme="minorHAnsi" w:hAnsi="Arial" w:cstheme="minorBidi"/>
      <w:b/>
      <w:color w:val="0E2841" w:themeColor="text2"/>
      <w:sz w:val="36"/>
      <w:szCs w:val="36"/>
    </w:rPr>
  </w:style>
  <w:style w:type="paragraph" w:styleId="Quote">
    <w:name w:val="Quote"/>
    <w:basedOn w:val="Normal"/>
    <w:next w:val="Normal"/>
    <w:link w:val="QuoteChar"/>
    <w:uiPriority w:val="29"/>
    <w:rsid w:val="00C806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640"/>
    <w:rPr>
      <w:i/>
      <w:iCs/>
      <w:color w:val="404040" w:themeColor="text1" w:themeTint="BF"/>
    </w:rPr>
  </w:style>
  <w:style w:type="paragraph" w:styleId="Header">
    <w:name w:val="header"/>
    <w:basedOn w:val="Normal"/>
    <w:link w:val="HeaderChar"/>
    <w:uiPriority w:val="99"/>
    <w:semiHidden/>
    <w:rsid w:val="00C80640"/>
    <w:pPr>
      <w:tabs>
        <w:tab w:val="center" w:pos="4513"/>
        <w:tab w:val="right" w:pos="9026"/>
      </w:tabs>
      <w:spacing w:after="0" w:line="240" w:lineRule="auto"/>
    </w:pPr>
  </w:style>
  <w:style w:type="character" w:styleId="IntenseEmphasis">
    <w:name w:val="Intense Emphasis"/>
    <w:basedOn w:val="DefaultParagraphFont"/>
    <w:uiPriority w:val="21"/>
    <w:rsid w:val="00C80640"/>
    <w:rPr>
      <w:i/>
      <w:iCs/>
      <w:color w:val="0F4761" w:themeColor="accent1" w:themeShade="BF"/>
    </w:rPr>
  </w:style>
  <w:style w:type="paragraph" w:styleId="IntenseQuote">
    <w:name w:val="Intense Quote"/>
    <w:basedOn w:val="Normal"/>
    <w:next w:val="Normal"/>
    <w:link w:val="IntenseQuoteChar"/>
    <w:uiPriority w:val="30"/>
    <w:rsid w:val="00C80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40"/>
    <w:rPr>
      <w:i/>
      <w:iCs/>
      <w:color w:val="0F4761" w:themeColor="accent1" w:themeShade="BF"/>
    </w:rPr>
  </w:style>
  <w:style w:type="character" w:styleId="IntenseReference">
    <w:name w:val="Intense Reference"/>
    <w:basedOn w:val="DefaultParagraphFont"/>
    <w:uiPriority w:val="32"/>
    <w:rsid w:val="00C80640"/>
    <w:rPr>
      <w:b/>
      <w:bCs/>
      <w:smallCaps/>
      <w:color w:val="0F4761" w:themeColor="accent1" w:themeShade="BF"/>
      <w:spacing w:val="5"/>
    </w:rPr>
  </w:style>
  <w:style w:type="character" w:customStyle="1" w:styleId="HeaderChar">
    <w:name w:val="Header Char"/>
    <w:basedOn w:val="DefaultParagraphFont"/>
    <w:link w:val="Header"/>
    <w:uiPriority w:val="99"/>
    <w:semiHidden/>
    <w:rsid w:val="00C80640"/>
    <w:rPr>
      <w:rFonts w:asciiTheme="minorHAnsi" w:eastAsiaTheme="minorHAnsi" w:hAnsiTheme="minorHAnsi"/>
      <w:color w:val="auto"/>
      <w:kern w:val="0"/>
      <w:szCs w:val="22"/>
      <w:lang w:eastAsia="en-US" w:bidi="ar-SA"/>
      <w14:ligatures w14:val="none"/>
    </w:rPr>
  </w:style>
  <w:style w:type="paragraph" w:styleId="Footer">
    <w:name w:val="footer"/>
    <w:basedOn w:val="Normal"/>
    <w:link w:val="FooterChar"/>
    <w:uiPriority w:val="99"/>
    <w:semiHidden/>
    <w:rsid w:val="00C806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0640"/>
    <w:rPr>
      <w:rFonts w:asciiTheme="minorHAnsi" w:eastAsiaTheme="minorHAnsi" w:hAnsiTheme="minorHAnsi"/>
      <w:color w:val="auto"/>
      <w:kern w:val="0"/>
      <w:szCs w:val="22"/>
      <w:lang w:eastAsia="en-US" w:bidi="ar-SA"/>
      <w14:ligatures w14:val="none"/>
    </w:rPr>
  </w:style>
  <w:style w:type="table" w:styleId="TableGrid">
    <w:name w:val="Table Grid"/>
    <w:basedOn w:val="TableNormal"/>
    <w:uiPriority w:val="39"/>
    <w:rsid w:val="00EA6D57"/>
    <w:pPr>
      <w:spacing w:after="0" w:line="259" w:lineRule="auto"/>
    </w:pPr>
    <w:rPr>
      <w:rFonts w:eastAsiaTheme="minorHAnsi"/>
      <w:color w:val="auto"/>
      <w:kern w:val="0"/>
      <w:szCs w:val="22"/>
      <w:lang w:eastAsia="en-US" w:bidi="ar-SA"/>
      <w14:ligatures w14:val="none"/>
    </w:rPr>
    <w:tblPr>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CellMar>
        <w:top w:w="113" w:type="dxa"/>
        <w:left w:w="170" w:type="dxa"/>
        <w:bottom w:w="113" w:type="dxa"/>
        <w:right w:w="170" w:type="dxa"/>
      </w:tblCellMar>
    </w:tblPr>
    <w:tcPr>
      <w:shd w:val="clear" w:color="auto" w:fill="auto"/>
    </w:tcPr>
    <w:tblStylePr w:type="firstRow">
      <w:pPr>
        <w:wordWrap/>
        <w:spacing w:beforeLines="0" w:before="0" w:beforeAutospacing="0" w:afterLines="0" w:after="0" w:afterAutospacing="0" w:line="276" w:lineRule="auto"/>
      </w:pPr>
      <w:rPr>
        <w:rFonts w:ascii="Arial" w:hAnsi="Arial"/>
        <w:b/>
        <w:caps w:val="0"/>
        <w:smallCaps w:val="0"/>
        <w:sz w:val="24"/>
      </w:rPr>
      <w:tblPr/>
      <w:tcPr>
        <w:shd w:val="clear" w:color="auto" w:fill="E1E9EB"/>
      </w:tcPr>
    </w:tblStylePr>
    <w:tblStylePr w:type="lastRow">
      <w:rPr>
        <w:rFonts w:asciiTheme="minorHAnsi" w:hAnsiTheme="minorHAnsi"/>
        <w:sz w:val="22"/>
      </w:rPr>
    </w:tblStylePr>
    <w:tblStylePr w:type="firstCol">
      <w:pPr>
        <w:wordWrap/>
        <w:spacing w:beforeLines="0" w:before="0" w:beforeAutospacing="0" w:afterLines="0" w:after="0" w:afterAutospacing="0" w:line="276" w:lineRule="auto"/>
      </w:pPr>
      <w:rPr>
        <w:rFonts w:ascii="Arial" w:hAnsi="Arial"/>
        <w:b/>
        <w:sz w:val="24"/>
      </w:rPr>
      <w:tblPr/>
      <w:tcPr>
        <w:shd w:val="clear" w:color="auto" w:fill="E8E8E8" w:themeFill="background2"/>
      </w:tcPr>
    </w:tblStylePr>
  </w:style>
  <w:style w:type="paragraph" w:customStyle="1" w:styleId="HUDBody">
    <w:name w:val="HUD_Body"/>
    <w:basedOn w:val="Normal"/>
    <w:qFormat/>
    <w:rsid w:val="00C80640"/>
    <w:rPr>
      <w:szCs w:val="24"/>
    </w:rPr>
  </w:style>
  <w:style w:type="paragraph" w:customStyle="1" w:styleId="HUDBullets">
    <w:name w:val="HUD_Bullets"/>
    <w:basedOn w:val="Normal"/>
    <w:uiPriority w:val="1"/>
    <w:qFormat/>
    <w:rsid w:val="00C80640"/>
    <w:pPr>
      <w:numPr>
        <w:numId w:val="1"/>
      </w:numPr>
      <w:ind w:left="547" w:hanging="547"/>
    </w:pPr>
    <w:rPr>
      <w:szCs w:val="24"/>
    </w:rPr>
  </w:style>
  <w:style w:type="paragraph" w:customStyle="1" w:styleId="HUDHeading2">
    <w:name w:val="HUD_Heading 2"/>
    <w:basedOn w:val="Normal"/>
    <w:qFormat/>
    <w:rsid w:val="00C80640"/>
    <w:pPr>
      <w:spacing w:before="360"/>
      <w:outlineLvl w:val="1"/>
    </w:pPr>
    <w:rPr>
      <w:b/>
      <w:color w:val="0E2841" w:themeColor="text2"/>
      <w:sz w:val="28"/>
      <w:szCs w:val="28"/>
    </w:rPr>
  </w:style>
  <w:style w:type="paragraph" w:customStyle="1" w:styleId="HUDHeading3">
    <w:name w:val="HUD_Heading 3"/>
    <w:basedOn w:val="Normal"/>
    <w:qFormat/>
    <w:rsid w:val="00C80640"/>
    <w:pPr>
      <w:spacing w:before="360"/>
      <w:outlineLvl w:val="2"/>
    </w:pPr>
    <w:rPr>
      <w:iCs/>
      <w:color w:val="0E2841" w:themeColor="text2"/>
      <w:sz w:val="28"/>
      <w:szCs w:val="28"/>
    </w:rPr>
  </w:style>
  <w:style w:type="paragraph" w:customStyle="1" w:styleId="HUDTableHeading">
    <w:name w:val="HUD_Table Heading"/>
    <w:uiPriority w:val="2"/>
    <w:semiHidden/>
    <w:qFormat/>
    <w:rsid w:val="00585B1F"/>
    <w:pPr>
      <w:spacing w:after="120" w:line="276" w:lineRule="auto"/>
      <w:outlineLvl w:val="4"/>
    </w:pPr>
    <w:rPr>
      <w:rFonts w:eastAsiaTheme="minorHAnsi"/>
      <w:b/>
      <w:color w:val="auto"/>
      <w:kern w:val="0"/>
      <w:szCs w:val="24"/>
      <w:lang w:eastAsia="en-US" w:bidi="ar-SA"/>
      <w14:ligatures w14:val="none"/>
    </w:rPr>
  </w:style>
  <w:style w:type="paragraph" w:styleId="FootnoteText">
    <w:name w:val="footnote text"/>
    <w:basedOn w:val="Normal"/>
    <w:link w:val="FootnoteTextChar"/>
    <w:uiPriority w:val="99"/>
    <w:rsid w:val="00C80640"/>
    <w:pPr>
      <w:spacing w:after="0" w:line="240" w:lineRule="auto"/>
    </w:pPr>
    <w:rPr>
      <w:sz w:val="19"/>
      <w:szCs w:val="20"/>
    </w:rPr>
  </w:style>
  <w:style w:type="character" w:customStyle="1" w:styleId="FootnoteTextChar">
    <w:name w:val="Footnote Text Char"/>
    <w:basedOn w:val="DefaultParagraphFont"/>
    <w:link w:val="FootnoteText"/>
    <w:uiPriority w:val="99"/>
    <w:rsid w:val="00C80640"/>
    <w:rPr>
      <w:rFonts w:asciiTheme="minorHAnsi" w:eastAsiaTheme="minorHAnsi" w:hAnsiTheme="minorHAnsi"/>
      <w:color w:val="auto"/>
      <w:kern w:val="0"/>
      <w:sz w:val="19"/>
      <w:szCs w:val="20"/>
      <w:lang w:eastAsia="en-US" w:bidi="ar-SA"/>
      <w14:ligatures w14:val="none"/>
    </w:rPr>
  </w:style>
  <w:style w:type="character" w:styleId="FootnoteReference">
    <w:name w:val="footnote reference"/>
    <w:basedOn w:val="DefaultParagraphFont"/>
    <w:uiPriority w:val="99"/>
    <w:rsid w:val="00C80640"/>
    <w:rPr>
      <w:color w:val="0E2841" w:themeColor="text2"/>
      <w:vertAlign w:val="superscript"/>
    </w:rPr>
  </w:style>
  <w:style w:type="paragraph" w:customStyle="1" w:styleId="HUDList">
    <w:name w:val="HUD_List"/>
    <w:basedOn w:val="ListParagraph"/>
    <w:link w:val="HUDListChar"/>
    <w:uiPriority w:val="4"/>
    <w:rsid w:val="00C80640"/>
    <w:pPr>
      <w:numPr>
        <w:numId w:val="2"/>
      </w:numPr>
      <w:contextualSpacing w:val="0"/>
    </w:pPr>
  </w:style>
  <w:style w:type="paragraph" w:customStyle="1" w:styleId="HUDHeading4">
    <w:name w:val="HUD_Heading 4"/>
    <w:basedOn w:val="HUDHeading3"/>
    <w:next w:val="HUDBody"/>
    <w:qFormat/>
    <w:rsid w:val="00C80640"/>
    <w:pPr>
      <w:spacing w:before="240" w:after="0"/>
      <w:outlineLvl w:val="3"/>
    </w:pPr>
    <w:rPr>
      <w:b/>
      <w:iCs w:val="0"/>
      <w:sz w:val="24"/>
      <w:szCs w:val="24"/>
    </w:rPr>
  </w:style>
  <w:style w:type="paragraph" w:customStyle="1" w:styleId="HUDTableHeading0">
    <w:name w:val="HUD Table Heading"/>
    <w:basedOn w:val="Normal"/>
    <w:uiPriority w:val="1"/>
    <w:semiHidden/>
    <w:rsid w:val="00C80640"/>
    <w:pPr>
      <w:spacing w:after="0"/>
    </w:pPr>
    <w:rPr>
      <w:b/>
      <w:bCs/>
    </w:rPr>
  </w:style>
  <w:style w:type="paragraph" w:customStyle="1" w:styleId="HUDTableBody">
    <w:name w:val="HUD Table Body"/>
    <w:rsid w:val="00C80640"/>
    <w:pPr>
      <w:spacing w:after="0" w:line="259" w:lineRule="auto"/>
    </w:pPr>
    <w:rPr>
      <w:rFonts w:asciiTheme="minorHAnsi" w:eastAsiaTheme="minorHAnsi" w:hAnsiTheme="minorHAnsi"/>
      <w:bCs/>
      <w:color w:val="auto"/>
      <w:kern w:val="0"/>
      <w:szCs w:val="22"/>
      <w:lang w:eastAsia="en-US" w:bidi="ar-SA"/>
      <w14:ligatures w14:val="none"/>
    </w:rPr>
  </w:style>
  <w:style w:type="paragraph" w:customStyle="1" w:styleId="HUDNumberedbullets">
    <w:name w:val="HUD_Numbered bullets"/>
    <w:basedOn w:val="HUDList"/>
    <w:link w:val="HUDNumberedbulletsChar"/>
    <w:uiPriority w:val="1"/>
    <w:qFormat/>
    <w:rsid w:val="00C80640"/>
    <w:pPr>
      <w:ind w:left="540" w:hanging="540"/>
    </w:pPr>
  </w:style>
  <w:style w:type="character" w:customStyle="1" w:styleId="HUDListChar">
    <w:name w:val="HUD_List Char"/>
    <w:basedOn w:val="DefaultParagraphFont"/>
    <w:link w:val="HUDList"/>
    <w:uiPriority w:val="4"/>
    <w:rsid w:val="00C80640"/>
    <w:rPr>
      <w:rFonts w:asciiTheme="minorHAnsi" w:eastAsiaTheme="minorHAnsi" w:hAnsiTheme="minorHAnsi"/>
      <w:color w:val="auto"/>
      <w:kern w:val="0"/>
      <w:szCs w:val="22"/>
      <w:lang w:eastAsia="en-US" w:bidi="ar-SA"/>
      <w14:ligatures w14:val="none"/>
    </w:rPr>
  </w:style>
  <w:style w:type="character" w:customStyle="1" w:styleId="HUDNumberedbulletsChar">
    <w:name w:val="HUD_Numbered bullets Char"/>
    <w:basedOn w:val="HUDListChar"/>
    <w:link w:val="HUDNumberedbullets"/>
    <w:uiPriority w:val="1"/>
    <w:rsid w:val="00C80640"/>
    <w:rPr>
      <w:rFonts w:asciiTheme="minorHAnsi" w:eastAsiaTheme="minorHAnsi" w:hAnsiTheme="minorHAnsi"/>
      <w:color w:val="auto"/>
      <w:kern w:val="0"/>
      <w:szCs w:val="22"/>
      <w:lang w:eastAsia="en-US" w:bidi="ar-SA"/>
      <w14:ligatures w14:val="none"/>
    </w:rPr>
  </w:style>
  <w:style w:type="paragraph" w:styleId="ListParagraph">
    <w:name w:val="List Paragraph"/>
    <w:basedOn w:val="Normal"/>
    <w:uiPriority w:val="34"/>
    <w:qFormat/>
    <w:rsid w:val="00C80640"/>
    <w:pPr>
      <w:ind w:left="720"/>
      <w:contextualSpacing/>
    </w:pPr>
  </w:style>
  <w:style w:type="paragraph" w:styleId="Date">
    <w:name w:val="Date"/>
    <w:basedOn w:val="Normal"/>
    <w:next w:val="Normal"/>
    <w:link w:val="DateChar"/>
    <w:uiPriority w:val="99"/>
    <w:semiHidden/>
    <w:rsid w:val="00E83FB5"/>
    <w:pPr>
      <w:spacing w:after="160" w:line="259" w:lineRule="auto"/>
    </w:pPr>
    <w:rPr>
      <w:rFonts w:asciiTheme="minorHAnsi" w:hAnsiTheme="minorHAnsi"/>
      <w:sz w:val="30"/>
      <w:szCs w:val="30"/>
      <w:lang w:val="mi-NZ"/>
    </w:rPr>
  </w:style>
  <w:style w:type="character" w:customStyle="1" w:styleId="DateChar">
    <w:name w:val="Date Char"/>
    <w:basedOn w:val="DefaultParagraphFont"/>
    <w:link w:val="Date"/>
    <w:uiPriority w:val="99"/>
    <w:semiHidden/>
    <w:rsid w:val="00E83FB5"/>
    <w:rPr>
      <w:rFonts w:asciiTheme="minorHAnsi" w:eastAsiaTheme="minorHAnsi" w:hAnsiTheme="minorHAnsi"/>
      <w:color w:val="auto"/>
      <w:kern w:val="0"/>
      <w:sz w:val="30"/>
      <w:lang w:val="mi-NZ" w:eastAsia="en-US" w:bidi="ar-SA"/>
      <w14:ligatures w14:val="none"/>
    </w:rPr>
  </w:style>
  <w:style w:type="character" w:styleId="PlaceholderText">
    <w:name w:val="Placeholder Text"/>
    <w:basedOn w:val="DefaultParagraphFont"/>
    <w:uiPriority w:val="99"/>
    <w:semiHidden/>
    <w:rsid w:val="00E83FB5"/>
    <w:rPr>
      <w:color w:val="808080"/>
    </w:rPr>
  </w:style>
  <w:style w:type="character" w:styleId="CommentReference">
    <w:name w:val="annotation reference"/>
    <w:basedOn w:val="DefaultParagraphFont"/>
    <w:uiPriority w:val="99"/>
    <w:semiHidden/>
    <w:unhideWhenUsed/>
    <w:rsid w:val="00E83FB5"/>
    <w:rPr>
      <w:sz w:val="16"/>
      <w:szCs w:val="16"/>
    </w:rPr>
  </w:style>
  <w:style w:type="paragraph" w:styleId="CommentText">
    <w:name w:val="annotation text"/>
    <w:basedOn w:val="Normal"/>
    <w:link w:val="CommentTextChar"/>
    <w:uiPriority w:val="99"/>
    <w:unhideWhenUsed/>
    <w:rsid w:val="00E83FB5"/>
    <w:pPr>
      <w:spacing w:line="240" w:lineRule="auto"/>
    </w:pPr>
    <w:rPr>
      <w:sz w:val="20"/>
      <w:szCs w:val="20"/>
    </w:rPr>
  </w:style>
  <w:style w:type="character" w:customStyle="1" w:styleId="CommentTextChar">
    <w:name w:val="Comment Text Char"/>
    <w:basedOn w:val="DefaultParagraphFont"/>
    <w:link w:val="CommentText"/>
    <w:uiPriority w:val="99"/>
    <w:rsid w:val="00E83FB5"/>
    <w:rPr>
      <w:rFonts w:eastAsiaTheme="minorHAnsi"/>
      <w:color w:val="auto"/>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E83FB5"/>
    <w:rPr>
      <w:b/>
      <w:bCs/>
    </w:rPr>
  </w:style>
  <w:style w:type="character" w:customStyle="1" w:styleId="CommentSubjectChar">
    <w:name w:val="Comment Subject Char"/>
    <w:basedOn w:val="CommentTextChar"/>
    <w:link w:val="CommentSubject"/>
    <w:uiPriority w:val="99"/>
    <w:semiHidden/>
    <w:rsid w:val="00E83FB5"/>
    <w:rPr>
      <w:rFonts w:eastAsiaTheme="minorHAnsi"/>
      <w:b/>
      <w:bCs/>
      <w:color w:val="auto"/>
      <w:kern w:val="0"/>
      <w:sz w:val="20"/>
      <w:szCs w:val="20"/>
      <w:lang w:eastAsia="en-US" w:bidi="ar-SA"/>
      <w14:ligatures w14:val="none"/>
    </w:rPr>
  </w:style>
  <w:style w:type="paragraph" w:styleId="TOC2">
    <w:name w:val="toc 2"/>
    <w:basedOn w:val="Normal"/>
    <w:next w:val="Normal"/>
    <w:autoRedefine/>
    <w:uiPriority w:val="39"/>
    <w:unhideWhenUsed/>
    <w:rsid w:val="00117F5B"/>
    <w:pPr>
      <w:tabs>
        <w:tab w:val="right" w:leader="dot" w:pos="9016"/>
      </w:tabs>
      <w:spacing w:after="100" w:line="288" w:lineRule="auto"/>
      <w:ind w:left="360"/>
    </w:pPr>
    <w:rPr>
      <w:rFonts w:eastAsia="Calibri" w:cs="Arial"/>
    </w:rPr>
  </w:style>
  <w:style w:type="character" w:styleId="Hyperlink">
    <w:name w:val="Hyperlink"/>
    <w:basedOn w:val="DefaultParagraphFont"/>
    <w:uiPriority w:val="99"/>
    <w:unhideWhenUsed/>
    <w:rsid w:val="00E83FB5"/>
    <w:rPr>
      <w:color w:val="467886" w:themeColor="hyperlink"/>
      <w:u w:val="single"/>
    </w:rPr>
  </w:style>
  <w:style w:type="character" w:styleId="UnresolvedMention">
    <w:name w:val="Unresolved Mention"/>
    <w:basedOn w:val="DefaultParagraphFont"/>
    <w:uiPriority w:val="99"/>
    <w:semiHidden/>
    <w:unhideWhenUsed/>
    <w:rsid w:val="00E83FB5"/>
    <w:rPr>
      <w:color w:val="605E5C"/>
      <w:shd w:val="clear" w:color="auto" w:fill="E1DFDD"/>
    </w:rPr>
  </w:style>
  <w:style w:type="paragraph" w:styleId="Revision">
    <w:name w:val="Revision"/>
    <w:hidden/>
    <w:uiPriority w:val="99"/>
    <w:semiHidden/>
    <w:rsid w:val="00BF273A"/>
    <w:pPr>
      <w:spacing w:after="0" w:line="240" w:lineRule="auto"/>
    </w:pPr>
    <w:rPr>
      <w:rFonts w:eastAsiaTheme="minorHAnsi"/>
      <w:color w:val="auto"/>
      <w:kern w:val="0"/>
      <w:szCs w:val="22"/>
      <w:lang w:eastAsia="en-US" w:bidi="ar-SA"/>
      <w14:ligatures w14:val="none"/>
    </w:rPr>
  </w:style>
  <w:style w:type="character" w:styleId="FollowedHyperlink">
    <w:name w:val="FollowedHyperlink"/>
    <w:basedOn w:val="DefaultParagraphFont"/>
    <w:uiPriority w:val="99"/>
    <w:semiHidden/>
    <w:unhideWhenUsed/>
    <w:rsid w:val="002C090F"/>
    <w:rPr>
      <w:color w:val="96607D" w:themeColor="followedHyperlink"/>
      <w:u w:val="single"/>
    </w:rPr>
  </w:style>
  <w:style w:type="paragraph" w:styleId="TOC3">
    <w:name w:val="toc 3"/>
    <w:basedOn w:val="Normal"/>
    <w:next w:val="Normal"/>
    <w:autoRedefine/>
    <w:uiPriority w:val="39"/>
    <w:unhideWhenUsed/>
    <w:rsid w:val="00117F5B"/>
    <w:pPr>
      <w:tabs>
        <w:tab w:val="right" w:leader="dot" w:pos="9016"/>
      </w:tabs>
      <w:spacing w:after="100"/>
      <w:ind w:left="360"/>
    </w:pPr>
  </w:style>
  <w:style w:type="paragraph" w:styleId="TOC1">
    <w:name w:val="toc 1"/>
    <w:basedOn w:val="Normal"/>
    <w:next w:val="Normal"/>
    <w:autoRedefine/>
    <w:uiPriority w:val="39"/>
    <w:unhideWhenUsed/>
    <w:rsid w:val="00117F5B"/>
    <w:pPr>
      <w:spacing w:after="100"/>
    </w:pPr>
  </w:style>
  <w:style w:type="paragraph" w:styleId="TOC4">
    <w:name w:val="toc 4"/>
    <w:basedOn w:val="Normal"/>
    <w:next w:val="Normal"/>
    <w:autoRedefine/>
    <w:uiPriority w:val="39"/>
    <w:unhideWhenUsed/>
    <w:rsid w:val="00117F5B"/>
    <w:pPr>
      <w:spacing w:after="100" w:line="278" w:lineRule="auto"/>
      <w:ind w:left="720"/>
    </w:pPr>
    <w:rPr>
      <w:rFonts w:asciiTheme="minorHAnsi" w:eastAsiaTheme="minorEastAsia" w:hAnsiTheme="minorHAnsi"/>
      <w:kern w:val="2"/>
      <w:szCs w:val="30"/>
      <w:lang w:eastAsia="zh-CN" w:bidi="th-TH"/>
      <w14:ligatures w14:val="standardContextual"/>
    </w:rPr>
  </w:style>
  <w:style w:type="paragraph" w:styleId="TOC5">
    <w:name w:val="toc 5"/>
    <w:basedOn w:val="Normal"/>
    <w:next w:val="Normal"/>
    <w:autoRedefine/>
    <w:uiPriority w:val="39"/>
    <w:unhideWhenUsed/>
    <w:rsid w:val="00117F5B"/>
    <w:pPr>
      <w:spacing w:after="100" w:line="278" w:lineRule="auto"/>
      <w:ind w:left="960"/>
    </w:pPr>
    <w:rPr>
      <w:rFonts w:asciiTheme="minorHAnsi" w:eastAsiaTheme="minorEastAsia" w:hAnsiTheme="minorHAnsi"/>
      <w:kern w:val="2"/>
      <w:szCs w:val="30"/>
      <w:lang w:eastAsia="zh-CN" w:bidi="th-TH"/>
      <w14:ligatures w14:val="standardContextual"/>
    </w:rPr>
  </w:style>
  <w:style w:type="paragraph" w:styleId="TOC6">
    <w:name w:val="toc 6"/>
    <w:basedOn w:val="Normal"/>
    <w:next w:val="Normal"/>
    <w:autoRedefine/>
    <w:uiPriority w:val="39"/>
    <w:unhideWhenUsed/>
    <w:rsid w:val="00117F5B"/>
    <w:pPr>
      <w:spacing w:after="100" w:line="278" w:lineRule="auto"/>
      <w:ind w:left="1200"/>
    </w:pPr>
    <w:rPr>
      <w:rFonts w:asciiTheme="minorHAnsi" w:eastAsiaTheme="minorEastAsia" w:hAnsiTheme="minorHAnsi"/>
      <w:kern w:val="2"/>
      <w:szCs w:val="30"/>
      <w:lang w:eastAsia="zh-CN" w:bidi="th-TH"/>
      <w14:ligatures w14:val="standardContextual"/>
    </w:rPr>
  </w:style>
  <w:style w:type="paragraph" w:styleId="TOC7">
    <w:name w:val="toc 7"/>
    <w:basedOn w:val="Normal"/>
    <w:next w:val="Normal"/>
    <w:autoRedefine/>
    <w:uiPriority w:val="39"/>
    <w:unhideWhenUsed/>
    <w:rsid w:val="00117F5B"/>
    <w:pPr>
      <w:spacing w:after="100" w:line="278" w:lineRule="auto"/>
      <w:ind w:left="1440"/>
    </w:pPr>
    <w:rPr>
      <w:rFonts w:asciiTheme="minorHAnsi" w:eastAsiaTheme="minorEastAsia" w:hAnsiTheme="minorHAnsi"/>
      <w:kern w:val="2"/>
      <w:szCs w:val="30"/>
      <w:lang w:eastAsia="zh-CN" w:bidi="th-TH"/>
      <w14:ligatures w14:val="standardContextual"/>
    </w:rPr>
  </w:style>
  <w:style w:type="paragraph" w:styleId="TOC8">
    <w:name w:val="toc 8"/>
    <w:basedOn w:val="Normal"/>
    <w:next w:val="Normal"/>
    <w:autoRedefine/>
    <w:uiPriority w:val="39"/>
    <w:unhideWhenUsed/>
    <w:rsid w:val="00117F5B"/>
    <w:pPr>
      <w:spacing w:after="100" w:line="278" w:lineRule="auto"/>
      <w:ind w:left="1680"/>
    </w:pPr>
    <w:rPr>
      <w:rFonts w:asciiTheme="minorHAnsi" w:eastAsiaTheme="minorEastAsia" w:hAnsiTheme="minorHAnsi"/>
      <w:kern w:val="2"/>
      <w:szCs w:val="30"/>
      <w:lang w:eastAsia="zh-CN" w:bidi="th-TH"/>
      <w14:ligatures w14:val="standardContextual"/>
    </w:rPr>
  </w:style>
  <w:style w:type="paragraph" w:styleId="TOC9">
    <w:name w:val="toc 9"/>
    <w:basedOn w:val="Normal"/>
    <w:next w:val="Normal"/>
    <w:autoRedefine/>
    <w:uiPriority w:val="39"/>
    <w:unhideWhenUsed/>
    <w:rsid w:val="00117F5B"/>
    <w:pPr>
      <w:spacing w:after="100" w:line="278" w:lineRule="auto"/>
      <w:ind w:left="1920"/>
    </w:pPr>
    <w:rPr>
      <w:rFonts w:asciiTheme="minorHAnsi" w:eastAsiaTheme="minorEastAsia" w:hAnsiTheme="minorHAnsi"/>
      <w:kern w:val="2"/>
      <w:szCs w:val="30"/>
      <w:lang w:eastAsia="zh-CN" w:bidi="th-TH"/>
      <w14:ligatures w14:val="standardContextual"/>
    </w:rPr>
  </w:style>
  <w:style w:type="character" w:styleId="Mention">
    <w:name w:val="Mention"/>
    <w:basedOn w:val="DefaultParagraphFont"/>
    <w:uiPriority w:val="99"/>
    <w:unhideWhenUsed/>
    <w:rsid w:val="009453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cidents@hud.govt.nz" TargetMode="External"/><Relationship Id="rId21" Type="http://schemas.openxmlformats.org/officeDocument/2006/relationships/hyperlink" Target="https://www.workandincome.govt.nz/map/income-support/extra-help/emergency-housing/immediate-emergency-housing-need.html" TargetMode="External"/><Relationship Id="rId34" Type="http://schemas.openxmlformats.org/officeDocument/2006/relationships/hyperlink" Target="https://www.hud.govt.nz/assets/Uploads/Documents/Fair-Way-Transitional-Housing-IDRS-Flyer.pdf" TargetMode="External"/><Relationship Id="rId42" Type="http://schemas.openxmlformats.org/officeDocument/2006/relationships/hyperlink" Target="https://www.workandincome.govt.nz/housing/live-in-home/housing-costs/index.html" TargetMode="External"/><Relationship Id="rId47" Type="http://schemas.openxmlformats.org/officeDocument/2006/relationships/hyperlink" Target="https://msd.govt.nz/documents/what-we-can-do/providers/transitional-housing/th-provider-faqs.pdf" TargetMode="External"/><Relationship Id="rId50" Type="http://schemas.openxmlformats.org/officeDocument/2006/relationships/hyperlink" Target="https://nzism.gcsb.govt.nz/" TargetMode="External"/><Relationship Id="rId55" Type="http://schemas.openxmlformats.org/officeDocument/2006/relationships/hyperlink" Target="https://www.workandincome.govt.nz/map/income-support/extra-help/emergency-housing/examples-of-calculating-percentage-of-family-tax-credit-entitlement.html" TargetMode="External"/><Relationship Id="rId63" Type="http://schemas.openxmlformats.org/officeDocument/2006/relationships/image" Target="media/image3.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orkandincome.govt.nz/map/income-support/extra-help/emergency-housing/residence-criteria.html" TargetMode="External"/><Relationship Id="rId29" Type="http://schemas.openxmlformats.org/officeDocument/2006/relationships/hyperlink" Target="https://www.areyouok.org.nz/" TargetMode="External"/><Relationship Id="rId11" Type="http://schemas.openxmlformats.org/officeDocument/2006/relationships/endnotes" Target="endnotes.xml"/><Relationship Id="rId24" Type="http://schemas.openxmlformats.org/officeDocument/2006/relationships/hyperlink" Target="https://view.officeapps.live.com/op/view.aspx?src=https%3A%2F%2Fwww.hud.govt.nz%2Fassets%2FUploads%2FDocuments%2FExample-housing-agreement-transitional-housing.docx&amp;wdOrigin=BROWSELINK" TargetMode="External"/><Relationship Id="rId32" Type="http://schemas.openxmlformats.org/officeDocument/2006/relationships/hyperlink" Target="https://www.hud.govt.nz/assets/Uploads/Documents/Independent-Dispute-Resolution-Service-Scope.pdf" TargetMode="External"/><Relationship Id="rId37" Type="http://schemas.openxmlformats.org/officeDocument/2006/relationships/hyperlink" Target="https://www.workandincome.govt.nz/map/income-support/extra-help/emergency-housing/security-deposit-grant-must-be-a-reasonable-amount.html" TargetMode="External"/><Relationship Id="rId40" Type="http://schemas.openxmlformats.org/officeDocument/2006/relationships/hyperlink" Target="https://www.msd.govt.nz/documents/about-msd-and-our-work/work-programmes/social-housing/housing-support-products-factsheet-for-community-stakeholders.pdf" TargetMode="External"/><Relationship Id="rId45" Type="http://schemas.openxmlformats.org/officeDocument/2006/relationships/hyperlink" Target="https://vimeo.com/866592023/0f1e5c1126?share=copy" TargetMode="External"/><Relationship Id="rId53" Type="http://schemas.openxmlformats.org/officeDocument/2006/relationships/hyperlink" Target="https://www.workandincome.govt.nz/documents/forms/redirection-of-benefit-payment.pdf" TargetMode="External"/><Relationship Id="rId58" Type="http://schemas.openxmlformats.org/officeDocument/2006/relationships/hyperlink" Target="mailto:incidents@hud.govt.nz"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www.workandincome.govt.nz/map/income-support/extra-help/emergency-housing/types-of-cash-assets.html" TargetMode="External"/><Relationship Id="rId14" Type="http://schemas.openxmlformats.org/officeDocument/2006/relationships/hyperlink" Target="https://msd.govt.nz/documents/what-we-can-do/providers/transitional-housing/thvm-tool-user-guide-for-providers.pdf" TargetMode="External"/><Relationship Id="rId22" Type="http://schemas.openxmlformats.org/officeDocument/2006/relationships/hyperlink" Target="https://www.workandincome.govt.nz/documents/providers/housing-providers/transitional-housing/housing-privacy-consent-form.pdf" TargetMode="External"/><Relationship Id="rId27" Type="http://schemas.openxmlformats.org/officeDocument/2006/relationships/hyperlink" Target="https://www.worksafe.govt.nz/notifications/notify-worksafe/" TargetMode="External"/><Relationship Id="rId30" Type="http://schemas.openxmlformats.org/officeDocument/2006/relationships/hyperlink" Target="https://www.police.govt.nz/advice/family-violence/help" TargetMode="External"/><Relationship Id="rId35" Type="http://schemas.openxmlformats.org/officeDocument/2006/relationships/hyperlink" Target="mailto:housing@fairwayresolution.com" TargetMode="External"/><Relationship Id="rId43" Type="http://schemas.openxmlformats.org/officeDocument/2006/relationships/hyperlink" Target="https://www.workandincome.govt.nz/documents/providers/housing-providers/transitional-housing/housing-privacy-consent-form.pdf" TargetMode="External"/><Relationship Id="rId48" Type="http://schemas.openxmlformats.org/officeDocument/2006/relationships/hyperlink" Target="https://www.legislation.govt.nz/act/public/2020/0031/latest/LMS23223.html" TargetMode="External"/><Relationship Id="rId56" Type="http://schemas.openxmlformats.org/officeDocument/2006/relationships/hyperlink" Target="https://www.workandincome.govt.nz/online-services/supplier-registration/index.html"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workandincome.govt.nz/documents/providers/housing-providers/transitional-housing/housing-privacy-consent-form.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workandincome.govt.nz/map/deskfile/extra-help-information/emergency-housing-grant-tables/income-limits-current.html" TargetMode="External"/><Relationship Id="rId25" Type="http://schemas.openxmlformats.org/officeDocument/2006/relationships/hyperlink" Target="https://www.legislation.govt.nz/act/public/2015/0070/latest/DLM5976660.html" TargetMode="External"/><Relationship Id="rId33" Type="http://schemas.openxmlformats.org/officeDocument/2006/relationships/hyperlink" Target="https://www.hud.govt.nz/assets/Uploads/Documents/Independent-Dispute-Resolution-Service-FAQs.pdf" TargetMode="External"/><Relationship Id="rId38" Type="http://schemas.openxmlformats.org/officeDocument/2006/relationships/hyperlink" Target="https://www.workandincome.govt.nz/providers/housing-providers/security-deposit.html" TargetMode="External"/><Relationship Id="rId46" Type="http://schemas.openxmlformats.org/officeDocument/2006/relationships/hyperlink" Target="https://msd.govt.nz/documents/what-we-can-do/providers/transitional-housing/thvm-tool-user-guide-for-providers.pdf" TargetMode="External"/><Relationship Id="rId59" Type="http://schemas.openxmlformats.org/officeDocument/2006/relationships/footer" Target="footer1.xml"/><Relationship Id="rId20" Type="http://schemas.openxmlformats.org/officeDocument/2006/relationships/hyperlink" Target="https://www.workandincome.govt.nz/products/a-z-benefits/youth-payment.html" TargetMode="External"/><Relationship Id="rId41" Type="http://schemas.openxmlformats.org/officeDocument/2006/relationships/hyperlink" Target="https://www.workandincome.govt.nz/housing/move-house/index.html" TargetMode="External"/><Relationship Id="rId54" Type="http://schemas.openxmlformats.org/officeDocument/2006/relationships/hyperlink" Target="https://www.workandincome.govt.nz/products/benefit-rates/index.html"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TH_vacancy_management@msd.govt.nz" TargetMode="External"/><Relationship Id="rId23" Type="http://schemas.openxmlformats.org/officeDocument/2006/relationships/hyperlink" Target="https://www.legislation.govt.nz/act/public/2020/0031/latest/LMS23223.html" TargetMode="External"/><Relationship Id="rId28" Type="http://schemas.openxmlformats.org/officeDocument/2006/relationships/hyperlink" Target="mailto:contact@ot.govt.nz" TargetMode="External"/><Relationship Id="rId36" Type="http://schemas.openxmlformats.org/officeDocument/2006/relationships/hyperlink" Target="https://www.fairwayresolution.com/help-for-you/transitional-housing/get-started" TargetMode="External"/><Relationship Id="rId49" Type="http://schemas.openxmlformats.org/officeDocument/2006/relationships/hyperlink" Target="https://www.privacy.org.nz/responsibilities/privacy-breaches/" TargetMode="External"/><Relationship Id="rId57" Type="http://schemas.openxmlformats.org/officeDocument/2006/relationships/hyperlink" Target="https://www.workandincome.govt.nz/documents/forms/redirection-of-benefit-payment.pdf" TargetMode="External"/><Relationship Id="rId10" Type="http://schemas.openxmlformats.org/officeDocument/2006/relationships/footnotes" Target="footnotes.xml"/><Relationship Id="rId31" Type="http://schemas.openxmlformats.org/officeDocument/2006/relationships/hyperlink" Target="https://www.workandincome.govt.nz/about-work-and-income/our-services/family-violence-intervention-programme.html" TargetMode="External"/><Relationship Id="rId44" Type="http://schemas.openxmlformats.org/officeDocument/2006/relationships/hyperlink" Target="mailto:TH_vacancy_management@msd.govt.nz" TargetMode="External"/><Relationship Id="rId52" Type="http://schemas.openxmlformats.org/officeDocument/2006/relationships/hyperlink" Target="https://www.hud.govt.nz/about-us/privacy"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workandincome.govt.nz/map/income-support/extra-help/emergency-housing/cash-asset-limits.html" TargetMode="External"/><Relationship Id="rId39" Type="http://schemas.openxmlformats.org/officeDocument/2006/relationships/hyperlink" Target="https://www.workandincome.govt.nz/documents/providers/housing-providers/emergency-housing-providers/forms/security-deposit-claim-for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xn--tekhuikhu-7bbe.govt.nz/assets/accreditation-approval/social-sector-accreditation-standards/level-3-social-sector-accreditation-standar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lynCranston\OneDrive%20-%20Ministry%20of%20Housing%20and%20Urban%20Development\Documents\Template%20audit\Updated\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211552F232040B38D803CE96D4590" ma:contentTypeVersion="12" ma:contentTypeDescription="Create a new document." ma:contentTypeScope="" ma:versionID="7fecda4e7dcf2799690d5101fb93dd52">
  <xsd:schema xmlns:xsd="http://www.w3.org/2001/XMLSchema" xmlns:xs="http://www.w3.org/2001/XMLSchema" xmlns:p="http://schemas.microsoft.com/office/2006/metadata/properties" xmlns:ns2="3ce0dadb-e506-49de-bdef-acd4ecb2edda" xmlns:ns3="2c76818c-7ea8-47fa-b33e-2c43827d0f0f" targetNamespace="http://schemas.microsoft.com/office/2006/metadata/properties" ma:root="true" ma:fieldsID="77f9f972456233e6e645de6309f662da" ns2:_="" ns3:_="">
    <xsd:import namespace="3ce0dadb-e506-49de-bdef-acd4ecb2edda"/>
    <xsd:import namespace="2c76818c-7ea8-47fa-b33e-2c43827d0f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0dadb-e506-49de-bdef-acd4ecb2ed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816b9a9-b8c0-4ee7-b05d-e6bbc0643f7a}" ma:internalName="TaxCatchAll" ma:showField="CatchAllData" ma:web="3ce0dadb-e506-49de-bdef-acd4ecb2e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6818c-7ea8-47fa-b33e-2c43827d0f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e0dadb-e506-49de-bdef-acd4ecb2edda" xsi:nil="true"/>
    <lcf76f155ced4ddcb4097134ff3c332f xmlns="2c76818c-7ea8-47fa-b33e-2c43827d0f0f">
      <Terms xmlns="http://schemas.microsoft.com/office/infopath/2007/PartnerControls"/>
    </lcf76f155ced4ddcb4097134ff3c332f>
    <_dlc_DocId xmlns="3ce0dadb-e506-49de-bdef-acd4ecb2edda">COMMS-673548004-11010</_dlc_DocId>
    <_dlc_DocIdUrl xmlns="3ce0dadb-e506-49de-bdef-acd4ecb2edda">
      <Url>https://mhud.sharepoint.com/sites/dms-comms/_layouts/15/DocIdRedir.aspx?ID=COMMS-673548004-11010</Url>
      <Description>COMMS-673548004-11010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36E9E3-DC36-4DB0-BCB5-08EC5B60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0dadb-e506-49de-bdef-acd4ecb2edda"/>
    <ds:schemaRef ds:uri="2c76818c-7ea8-47fa-b33e-2c43827d0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4E4A8-1AA9-429D-8D09-B1F7316C0DD6}">
  <ds:schemaRefs>
    <ds:schemaRef ds:uri="http://schemas.microsoft.com/sharepoint/v3/contenttype/forms"/>
  </ds:schemaRefs>
</ds:datastoreItem>
</file>

<file path=customXml/itemProps3.xml><?xml version="1.0" encoding="utf-8"?>
<ds:datastoreItem xmlns:ds="http://schemas.openxmlformats.org/officeDocument/2006/customXml" ds:itemID="{DCEE1985-5DA9-476E-8A85-6BB455399329}">
  <ds:schemaRefs>
    <ds:schemaRef ds:uri="3ce0dadb-e506-49de-bdef-acd4ecb2edda"/>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2c76818c-7ea8-47fa-b33e-2c43827d0f0f"/>
    <ds:schemaRef ds:uri="http://schemas.openxmlformats.org/package/2006/metadata/core-properties"/>
  </ds:schemaRefs>
</ds:datastoreItem>
</file>

<file path=customXml/itemProps4.xml><?xml version="1.0" encoding="utf-8"?>
<ds:datastoreItem xmlns:ds="http://schemas.openxmlformats.org/officeDocument/2006/customXml" ds:itemID="{38C9BB51-FDDA-42BF-824A-4343DFFF2999}">
  <ds:schemaRefs>
    <ds:schemaRef ds:uri="http://schemas.openxmlformats.org/officeDocument/2006/bibliography"/>
  </ds:schemaRefs>
</ds:datastoreItem>
</file>

<file path=customXml/itemProps5.xml><?xml version="1.0" encoding="utf-8"?>
<ds:datastoreItem xmlns:ds="http://schemas.openxmlformats.org/officeDocument/2006/customXml" ds:itemID="{7E58AE14-E523-4AF4-947E-EDAEB4516E94}">
  <ds:schemaRefs>
    <ds:schemaRef ds:uri="http://schemas.microsoft.com/sharepoint/events"/>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Document template</Template>
  <TotalTime>0</TotalTime>
  <Pages>48</Pages>
  <Words>12655</Words>
  <Characters>72135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84621</CharactersWithSpaces>
  <SharedDoc>false</SharedDoc>
  <HLinks>
    <vt:vector size="954" baseType="variant">
      <vt:variant>
        <vt:i4>5767218</vt:i4>
      </vt:variant>
      <vt:variant>
        <vt:i4>750</vt:i4>
      </vt:variant>
      <vt:variant>
        <vt:i4>0</vt:i4>
      </vt:variant>
      <vt:variant>
        <vt:i4>5</vt:i4>
      </vt:variant>
      <vt:variant>
        <vt:lpwstr>mailto:incidents@hud.govt.nz</vt:lpwstr>
      </vt:variant>
      <vt:variant>
        <vt:lpwstr/>
      </vt:variant>
      <vt:variant>
        <vt:i4>1114207</vt:i4>
      </vt:variant>
      <vt:variant>
        <vt:i4>747</vt:i4>
      </vt:variant>
      <vt:variant>
        <vt:i4>0</vt:i4>
      </vt:variant>
      <vt:variant>
        <vt:i4>5</vt:i4>
      </vt:variant>
      <vt:variant>
        <vt:lpwstr>https://www.workandincome.govt.nz/documents/forms/redirection-of-benefit-payment.pdf</vt:lpwstr>
      </vt:variant>
      <vt:variant>
        <vt:lpwstr/>
      </vt:variant>
      <vt:variant>
        <vt:i4>7471211</vt:i4>
      </vt:variant>
      <vt:variant>
        <vt:i4>744</vt:i4>
      </vt:variant>
      <vt:variant>
        <vt:i4>0</vt:i4>
      </vt:variant>
      <vt:variant>
        <vt:i4>5</vt:i4>
      </vt:variant>
      <vt:variant>
        <vt:lpwstr>https://www.workandincome.govt.nz/online-services/supplier-registration/index.html</vt:lpwstr>
      </vt:variant>
      <vt:variant>
        <vt:lpwstr/>
      </vt:variant>
      <vt:variant>
        <vt:i4>7274559</vt:i4>
      </vt:variant>
      <vt:variant>
        <vt:i4>741</vt:i4>
      </vt:variant>
      <vt:variant>
        <vt:i4>0</vt:i4>
      </vt:variant>
      <vt:variant>
        <vt:i4>5</vt:i4>
      </vt:variant>
      <vt:variant>
        <vt:lpwstr>https://www.workandincome.govt.nz/map/income-support/extra-help/emergency-housing/examples-of-calculating-percentage-of-family-tax-credit-entitlement.html</vt:lpwstr>
      </vt:variant>
      <vt:variant>
        <vt:lpwstr/>
      </vt:variant>
      <vt:variant>
        <vt:i4>2883694</vt:i4>
      </vt:variant>
      <vt:variant>
        <vt:i4>738</vt:i4>
      </vt:variant>
      <vt:variant>
        <vt:i4>0</vt:i4>
      </vt:variant>
      <vt:variant>
        <vt:i4>5</vt:i4>
      </vt:variant>
      <vt:variant>
        <vt:lpwstr>https://www.workandincome.govt.nz/products/benefit-rates/index.html</vt:lpwstr>
      </vt:variant>
      <vt:variant>
        <vt:lpwstr/>
      </vt:variant>
      <vt:variant>
        <vt:i4>7340129</vt:i4>
      </vt:variant>
      <vt:variant>
        <vt:i4>735</vt:i4>
      </vt:variant>
      <vt:variant>
        <vt:i4>0</vt:i4>
      </vt:variant>
      <vt:variant>
        <vt:i4>5</vt:i4>
      </vt:variant>
      <vt:variant>
        <vt:lpwstr/>
      </vt:variant>
      <vt:variant>
        <vt:lpwstr>AP7</vt:lpwstr>
      </vt:variant>
      <vt:variant>
        <vt:i4>1114207</vt:i4>
      </vt:variant>
      <vt:variant>
        <vt:i4>732</vt:i4>
      </vt:variant>
      <vt:variant>
        <vt:i4>0</vt:i4>
      </vt:variant>
      <vt:variant>
        <vt:i4>5</vt:i4>
      </vt:variant>
      <vt:variant>
        <vt:lpwstr>https://www.workandincome.govt.nz/documents/forms/redirection-of-benefit-payment.pdf</vt:lpwstr>
      </vt:variant>
      <vt:variant>
        <vt:lpwstr/>
      </vt:variant>
      <vt:variant>
        <vt:i4>7340129</vt:i4>
      </vt:variant>
      <vt:variant>
        <vt:i4>729</vt:i4>
      </vt:variant>
      <vt:variant>
        <vt:i4>0</vt:i4>
      </vt:variant>
      <vt:variant>
        <vt:i4>5</vt:i4>
      </vt:variant>
      <vt:variant>
        <vt:lpwstr/>
      </vt:variant>
      <vt:variant>
        <vt:lpwstr>AP7</vt:lpwstr>
      </vt:variant>
      <vt:variant>
        <vt:i4>7340129</vt:i4>
      </vt:variant>
      <vt:variant>
        <vt:i4>726</vt:i4>
      </vt:variant>
      <vt:variant>
        <vt:i4>0</vt:i4>
      </vt:variant>
      <vt:variant>
        <vt:i4>5</vt:i4>
      </vt:variant>
      <vt:variant>
        <vt:lpwstr/>
      </vt:variant>
      <vt:variant>
        <vt:lpwstr>AP5</vt:lpwstr>
      </vt:variant>
      <vt:variant>
        <vt:i4>7536698</vt:i4>
      </vt:variant>
      <vt:variant>
        <vt:i4>723</vt:i4>
      </vt:variant>
      <vt:variant>
        <vt:i4>0</vt:i4>
      </vt:variant>
      <vt:variant>
        <vt:i4>5</vt:i4>
      </vt:variant>
      <vt:variant>
        <vt:lpwstr>https://www.hud.govt.nz/about-us/privacy</vt:lpwstr>
      </vt:variant>
      <vt:variant>
        <vt:lpwstr>housing</vt:lpwstr>
      </vt:variant>
      <vt:variant>
        <vt:i4>1507409</vt:i4>
      </vt:variant>
      <vt:variant>
        <vt:i4>720</vt:i4>
      </vt:variant>
      <vt:variant>
        <vt:i4>0</vt:i4>
      </vt:variant>
      <vt:variant>
        <vt:i4>5</vt:i4>
      </vt:variant>
      <vt:variant>
        <vt:lpwstr>https://www.workandincome.govt.nz/documents/providers/housing-providers/transitional-housing/housing-privacy-consent-form.pdf</vt:lpwstr>
      </vt:variant>
      <vt:variant>
        <vt:lpwstr/>
      </vt:variant>
      <vt:variant>
        <vt:i4>7471205</vt:i4>
      </vt:variant>
      <vt:variant>
        <vt:i4>717</vt:i4>
      </vt:variant>
      <vt:variant>
        <vt:i4>0</vt:i4>
      </vt:variant>
      <vt:variant>
        <vt:i4>5</vt:i4>
      </vt:variant>
      <vt:variant>
        <vt:lpwstr>https://nzism.gcsb.govt.nz/</vt:lpwstr>
      </vt:variant>
      <vt:variant>
        <vt:lpwstr/>
      </vt:variant>
      <vt:variant>
        <vt:i4>4718592</vt:i4>
      </vt:variant>
      <vt:variant>
        <vt:i4>714</vt:i4>
      </vt:variant>
      <vt:variant>
        <vt:i4>0</vt:i4>
      </vt:variant>
      <vt:variant>
        <vt:i4>5</vt:i4>
      </vt:variant>
      <vt:variant>
        <vt:lpwstr>https://www.privacy.org.nz/responsibilities/privacy-breaches/</vt:lpwstr>
      </vt:variant>
      <vt:variant>
        <vt:lpwstr/>
      </vt:variant>
      <vt:variant>
        <vt:i4>589893</vt:i4>
      </vt:variant>
      <vt:variant>
        <vt:i4>711</vt:i4>
      </vt:variant>
      <vt:variant>
        <vt:i4>0</vt:i4>
      </vt:variant>
      <vt:variant>
        <vt:i4>5</vt:i4>
      </vt:variant>
      <vt:variant>
        <vt:lpwstr>https://msd.govt.nz/documents/what-we-can-do/providers/transitional-housing/th-provider-faqs.pdf</vt:lpwstr>
      </vt:variant>
      <vt:variant>
        <vt:lpwstr/>
      </vt:variant>
      <vt:variant>
        <vt:i4>6291556</vt:i4>
      </vt:variant>
      <vt:variant>
        <vt:i4>708</vt:i4>
      </vt:variant>
      <vt:variant>
        <vt:i4>0</vt:i4>
      </vt:variant>
      <vt:variant>
        <vt:i4>5</vt:i4>
      </vt:variant>
      <vt:variant>
        <vt:lpwstr>https://msd.govt.nz/documents/what-we-can-do/providers/transitional-housing/thvm-tool-user-guide-for-providers.pdf</vt:lpwstr>
      </vt:variant>
      <vt:variant>
        <vt:lpwstr/>
      </vt:variant>
      <vt:variant>
        <vt:i4>6029390</vt:i4>
      </vt:variant>
      <vt:variant>
        <vt:i4>705</vt:i4>
      </vt:variant>
      <vt:variant>
        <vt:i4>0</vt:i4>
      </vt:variant>
      <vt:variant>
        <vt:i4>5</vt:i4>
      </vt:variant>
      <vt:variant>
        <vt:lpwstr>https://vimeo.com/866592023/0f1e5c1126?share=copy</vt:lpwstr>
      </vt:variant>
      <vt:variant>
        <vt:lpwstr/>
      </vt:variant>
      <vt:variant>
        <vt:i4>5046319</vt:i4>
      </vt:variant>
      <vt:variant>
        <vt:i4>702</vt:i4>
      </vt:variant>
      <vt:variant>
        <vt:i4>0</vt:i4>
      </vt:variant>
      <vt:variant>
        <vt:i4>5</vt:i4>
      </vt:variant>
      <vt:variant>
        <vt:lpwstr>mailto:TH_vacancy_management@msd.govt.nz</vt:lpwstr>
      </vt:variant>
      <vt:variant>
        <vt:lpwstr/>
      </vt:variant>
      <vt:variant>
        <vt:i4>1507409</vt:i4>
      </vt:variant>
      <vt:variant>
        <vt:i4>699</vt:i4>
      </vt:variant>
      <vt:variant>
        <vt:i4>0</vt:i4>
      </vt:variant>
      <vt:variant>
        <vt:i4>5</vt:i4>
      </vt:variant>
      <vt:variant>
        <vt:lpwstr>https://www.workandincome.govt.nz/documents/providers/housing-providers/transitional-housing/housing-privacy-consent-form.pdf</vt:lpwstr>
      </vt:variant>
      <vt:variant>
        <vt:lpwstr/>
      </vt:variant>
      <vt:variant>
        <vt:i4>3014715</vt:i4>
      </vt:variant>
      <vt:variant>
        <vt:i4>696</vt:i4>
      </vt:variant>
      <vt:variant>
        <vt:i4>0</vt:i4>
      </vt:variant>
      <vt:variant>
        <vt:i4>5</vt:i4>
      </vt:variant>
      <vt:variant>
        <vt:lpwstr>https://www.workandincome.govt.nz/housing/live-in-home/housing-costs/index.html</vt:lpwstr>
      </vt:variant>
      <vt:variant>
        <vt:lpwstr/>
      </vt:variant>
      <vt:variant>
        <vt:i4>7208998</vt:i4>
      </vt:variant>
      <vt:variant>
        <vt:i4>693</vt:i4>
      </vt:variant>
      <vt:variant>
        <vt:i4>0</vt:i4>
      </vt:variant>
      <vt:variant>
        <vt:i4>5</vt:i4>
      </vt:variant>
      <vt:variant>
        <vt:lpwstr>https://www.workandincome.govt.nz/housing/move-house/index.html</vt:lpwstr>
      </vt:variant>
      <vt:variant>
        <vt:lpwstr/>
      </vt:variant>
      <vt:variant>
        <vt:i4>786442</vt:i4>
      </vt:variant>
      <vt:variant>
        <vt:i4>690</vt:i4>
      </vt:variant>
      <vt:variant>
        <vt:i4>0</vt:i4>
      </vt:variant>
      <vt:variant>
        <vt:i4>5</vt:i4>
      </vt:variant>
      <vt:variant>
        <vt:lpwstr>https://www.msd.govt.nz/documents/about-msd-and-our-work/work-programmes/social-housing/housing-support-products-factsheet-for-community-stakeholders.pdf</vt:lpwstr>
      </vt:variant>
      <vt:variant>
        <vt:lpwstr/>
      </vt:variant>
      <vt:variant>
        <vt:i4>1245262</vt:i4>
      </vt:variant>
      <vt:variant>
        <vt:i4>687</vt:i4>
      </vt:variant>
      <vt:variant>
        <vt:i4>0</vt:i4>
      </vt:variant>
      <vt:variant>
        <vt:i4>5</vt:i4>
      </vt:variant>
      <vt:variant>
        <vt:lpwstr>https://www.workandincome.govt.nz/documents/providers/housing-providers/emergency-housing-providers/forms/security-deposit-claim-form.pdf</vt:lpwstr>
      </vt:variant>
      <vt:variant>
        <vt:lpwstr/>
      </vt:variant>
      <vt:variant>
        <vt:i4>7864432</vt:i4>
      </vt:variant>
      <vt:variant>
        <vt:i4>684</vt:i4>
      </vt:variant>
      <vt:variant>
        <vt:i4>0</vt:i4>
      </vt:variant>
      <vt:variant>
        <vt:i4>5</vt:i4>
      </vt:variant>
      <vt:variant>
        <vt:lpwstr>https://www.workandincome.govt.nz/providers/housing-providers/security-deposit.html</vt:lpwstr>
      </vt:variant>
      <vt:variant>
        <vt:lpwstr/>
      </vt:variant>
      <vt:variant>
        <vt:i4>7340129</vt:i4>
      </vt:variant>
      <vt:variant>
        <vt:i4>681</vt:i4>
      </vt:variant>
      <vt:variant>
        <vt:i4>0</vt:i4>
      </vt:variant>
      <vt:variant>
        <vt:i4>5</vt:i4>
      </vt:variant>
      <vt:variant>
        <vt:lpwstr/>
      </vt:variant>
      <vt:variant>
        <vt:lpwstr>AP7</vt:lpwstr>
      </vt:variant>
      <vt:variant>
        <vt:i4>5374045</vt:i4>
      </vt:variant>
      <vt:variant>
        <vt:i4>678</vt:i4>
      </vt:variant>
      <vt:variant>
        <vt:i4>0</vt:i4>
      </vt:variant>
      <vt:variant>
        <vt:i4>5</vt:i4>
      </vt:variant>
      <vt:variant>
        <vt:lpwstr>https://www.workandincome.govt.nz/map/income-support/extra-help/emergency-housing/security-deposit-grant-must-be-a-reasonable-amount.html</vt:lpwstr>
      </vt:variant>
      <vt:variant>
        <vt:lpwstr/>
      </vt:variant>
      <vt:variant>
        <vt:i4>7340129</vt:i4>
      </vt:variant>
      <vt:variant>
        <vt:i4>675</vt:i4>
      </vt:variant>
      <vt:variant>
        <vt:i4>0</vt:i4>
      </vt:variant>
      <vt:variant>
        <vt:i4>5</vt:i4>
      </vt:variant>
      <vt:variant>
        <vt:lpwstr/>
      </vt:variant>
      <vt:variant>
        <vt:lpwstr>AP7</vt:lpwstr>
      </vt:variant>
      <vt:variant>
        <vt:i4>6815844</vt:i4>
      </vt:variant>
      <vt:variant>
        <vt:i4>672</vt:i4>
      </vt:variant>
      <vt:variant>
        <vt:i4>0</vt:i4>
      </vt:variant>
      <vt:variant>
        <vt:i4>5</vt:i4>
      </vt:variant>
      <vt:variant>
        <vt:lpwstr>https://www.fairwayresolution.com/help-for-you/transitional-housing/get-started</vt:lpwstr>
      </vt:variant>
      <vt:variant>
        <vt:lpwstr/>
      </vt:variant>
      <vt:variant>
        <vt:i4>393277</vt:i4>
      </vt:variant>
      <vt:variant>
        <vt:i4>669</vt:i4>
      </vt:variant>
      <vt:variant>
        <vt:i4>0</vt:i4>
      </vt:variant>
      <vt:variant>
        <vt:i4>5</vt:i4>
      </vt:variant>
      <vt:variant>
        <vt:lpwstr>mailto:housing@fairwayresolution.com</vt:lpwstr>
      </vt:variant>
      <vt:variant>
        <vt:lpwstr/>
      </vt:variant>
      <vt:variant>
        <vt:i4>4587593</vt:i4>
      </vt:variant>
      <vt:variant>
        <vt:i4>666</vt:i4>
      </vt:variant>
      <vt:variant>
        <vt:i4>0</vt:i4>
      </vt:variant>
      <vt:variant>
        <vt:i4>5</vt:i4>
      </vt:variant>
      <vt:variant>
        <vt:lpwstr>https://www.hud.govt.nz/assets/Uploads/Documents/Fair-Way-Transitional-Housing-IDRS-Flyer.pdf</vt:lpwstr>
      </vt:variant>
      <vt:variant>
        <vt:lpwstr/>
      </vt:variant>
      <vt:variant>
        <vt:i4>5701649</vt:i4>
      </vt:variant>
      <vt:variant>
        <vt:i4>663</vt:i4>
      </vt:variant>
      <vt:variant>
        <vt:i4>0</vt:i4>
      </vt:variant>
      <vt:variant>
        <vt:i4>5</vt:i4>
      </vt:variant>
      <vt:variant>
        <vt:lpwstr>https://www.hud.govt.nz/assets/Uploads/Documents/Independent-Dispute-Resolution-Service-FAQs.pdf</vt:lpwstr>
      </vt:variant>
      <vt:variant>
        <vt:lpwstr/>
      </vt:variant>
      <vt:variant>
        <vt:i4>655429</vt:i4>
      </vt:variant>
      <vt:variant>
        <vt:i4>660</vt:i4>
      </vt:variant>
      <vt:variant>
        <vt:i4>0</vt:i4>
      </vt:variant>
      <vt:variant>
        <vt:i4>5</vt:i4>
      </vt:variant>
      <vt:variant>
        <vt:lpwstr>https://www.hud.govt.nz/assets/Uploads/Documents/Independent-Dispute-Resolution-Service-Scope.pdf</vt:lpwstr>
      </vt:variant>
      <vt:variant>
        <vt:lpwstr/>
      </vt:variant>
      <vt:variant>
        <vt:i4>5111836</vt:i4>
      </vt:variant>
      <vt:variant>
        <vt:i4>657</vt:i4>
      </vt:variant>
      <vt:variant>
        <vt:i4>0</vt:i4>
      </vt:variant>
      <vt:variant>
        <vt:i4>5</vt:i4>
      </vt:variant>
      <vt:variant>
        <vt:lpwstr>https://www.workandincome.govt.nz/about-work-and-income/our-services/family-violence-intervention-programme.html</vt:lpwstr>
      </vt:variant>
      <vt:variant>
        <vt:lpwstr/>
      </vt:variant>
      <vt:variant>
        <vt:i4>6357091</vt:i4>
      </vt:variant>
      <vt:variant>
        <vt:i4>654</vt:i4>
      </vt:variant>
      <vt:variant>
        <vt:i4>0</vt:i4>
      </vt:variant>
      <vt:variant>
        <vt:i4>5</vt:i4>
      </vt:variant>
      <vt:variant>
        <vt:lpwstr>https://www.police.govt.nz/advice/family-violence/help</vt:lpwstr>
      </vt:variant>
      <vt:variant>
        <vt:lpwstr/>
      </vt:variant>
      <vt:variant>
        <vt:i4>1310796</vt:i4>
      </vt:variant>
      <vt:variant>
        <vt:i4>651</vt:i4>
      </vt:variant>
      <vt:variant>
        <vt:i4>0</vt:i4>
      </vt:variant>
      <vt:variant>
        <vt:i4>5</vt:i4>
      </vt:variant>
      <vt:variant>
        <vt:lpwstr>https://www.areyouok.org.nz/</vt:lpwstr>
      </vt:variant>
      <vt:variant>
        <vt:lpwstr/>
      </vt:variant>
      <vt:variant>
        <vt:i4>5111865</vt:i4>
      </vt:variant>
      <vt:variant>
        <vt:i4>648</vt:i4>
      </vt:variant>
      <vt:variant>
        <vt:i4>0</vt:i4>
      </vt:variant>
      <vt:variant>
        <vt:i4>5</vt:i4>
      </vt:variant>
      <vt:variant>
        <vt:lpwstr>mailto:contact@ot.govt.nz</vt:lpwstr>
      </vt:variant>
      <vt:variant>
        <vt:lpwstr/>
      </vt:variant>
      <vt:variant>
        <vt:i4>2818157</vt:i4>
      </vt:variant>
      <vt:variant>
        <vt:i4>645</vt:i4>
      </vt:variant>
      <vt:variant>
        <vt:i4>0</vt:i4>
      </vt:variant>
      <vt:variant>
        <vt:i4>5</vt:i4>
      </vt:variant>
      <vt:variant>
        <vt:lpwstr>https://www.worksafe.govt.nz/notifications/notify-worksafe/</vt:lpwstr>
      </vt:variant>
      <vt:variant>
        <vt:lpwstr/>
      </vt:variant>
      <vt:variant>
        <vt:i4>7340129</vt:i4>
      </vt:variant>
      <vt:variant>
        <vt:i4>642</vt:i4>
      </vt:variant>
      <vt:variant>
        <vt:i4>0</vt:i4>
      </vt:variant>
      <vt:variant>
        <vt:i4>5</vt:i4>
      </vt:variant>
      <vt:variant>
        <vt:lpwstr/>
      </vt:variant>
      <vt:variant>
        <vt:lpwstr>AP4</vt:lpwstr>
      </vt:variant>
      <vt:variant>
        <vt:i4>5767218</vt:i4>
      </vt:variant>
      <vt:variant>
        <vt:i4>639</vt:i4>
      </vt:variant>
      <vt:variant>
        <vt:i4>0</vt:i4>
      </vt:variant>
      <vt:variant>
        <vt:i4>5</vt:i4>
      </vt:variant>
      <vt:variant>
        <vt:lpwstr>mailto:incidents@hud.govt.nz</vt:lpwstr>
      </vt:variant>
      <vt:variant>
        <vt:lpwstr/>
      </vt:variant>
      <vt:variant>
        <vt:i4>7340129</vt:i4>
      </vt:variant>
      <vt:variant>
        <vt:i4>636</vt:i4>
      </vt:variant>
      <vt:variant>
        <vt:i4>0</vt:i4>
      </vt:variant>
      <vt:variant>
        <vt:i4>5</vt:i4>
      </vt:variant>
      <vt:variant>
        <vt:lpwstr/>
      </vt:variant>
      <vt:variant>
        <vt:lpwstr>AP4</vt:lpwstr>
      </vt:variant>
      <vt:variant>
        <vt:i4>7602285</vt:i4>
      </vt:variant>
      <vt:variant>
        <vt:i4>633</vt:i4>
      </vt:variant>
      <vt:variant>
        <vt:i4>0</vt:i4>
      </vt:variant>
      <vt:variant>
        <vt:i4>5</vt:i4>
      </vt:variant>
      <vt:variant>
        <vt:lpwstr>https://www.legislation.govt.nz/act/public/2015/0070/latest/DLM5976660.html</vt:lpwstr>
      </vt:variant>
      <vt:variant>
        <vt:lpwstr/>
      </vt:variant>
      <vt:variant>
        <vt:i4>1114205</vt:i4>
      </vt:variant>
      <vt:variant>
        <vt:i4>630</vt:i4>
      </vt:variant>
      <vt:variant>
        <vt:i4>0</vt:i4>
      </vt:variant>
      <vt:variant>
        <vt:i4>5</vt:i4>
      </vt:variant>
      <vt:variant>
        <vt:lpwstr>https://view.officeapps.live.com/op/view.aspx?src=https%3A%2F%2Fwww.hud.govt.nz%2Fassets%2FUploads%2FDocuments%2FExample-housing-agreement-transitional-housing.docx&amp;wdOrigin=BROWSELINK</vt:lpwstr>
      </vt:variant>
      <vt:variant>
        <vt:lpwstr/>
      </vt:variant>
      <vt:variant>
        <vt:i4>7340129</vt:i4>
      </vt:variant>
      <vt:variant>
        <vt:i4>627</vt:i4>
      </vt:variant>
      <vt:variant>
        <vt:i4>0</vt:i4>
      </vt:variant>
      <vt:variant>
        <vt:i4>5</vt:i4>
      </vt:variant>
      <vt:variant>
        <vt:lpwstr/>
      </vt:variant>
      <vt:variant>
        <vt:lpwstr>AP6</vt:lpwstr>
      </vt:variant>
      <vt:variant>
        <vt:i4>7340129</vt:i4>
      </vt:variant>
      <vt:variant>
        <vt:i4>624</vt:i4>
      </vt:variant>
      <vt:variant>
        <vt:i4>0</vt:i4>
      </vt:variant>
      <vt:variant>
        <vt:i4>5</vt:i4>
      </vt:variant>
      <vt:variant>
        <vt:lpwstr/>
      </vt:variant>
      <vt:variant>
        <vt:lpwstr>AP3</vt:lpwstr>
      </vt:variant>
      <vt:variant>
        <vt:i4>4194370</vt:i4>
      </vt:variant>
      <vt:variant>
        <vt:i4>621</vt:i4>
      </vt:variant>
      <vt:variant>
        <vt:i4>0</vt:i4>
      </vt:variant>
      <vt:variant>
        <vt:i4>5</vt:i4>
      </vt:variant>
      <vt:variant>
        <vt:lpwstr>https://www.legislation.govt.nz/act/public/2020/0031/latest/LMS23223.html</vt:lpwstr>
      </vt:variant>
      <vt:variant>
        <vt:lpwstr/>
      </vt:variant>
      <vt:variant>
        <vt:i4>1507409</vt:i4>
      </vt:variant>
      <vt:variant>
        <vt:i4>618</vt:i4>
      </vt:variant>
      <vt:variant>
        <vt:i4>0</vt:i4>
      </vt:variant>
      <vt:variant>
        <vt:i4>5</vt:i4>
      </vt:variant>
      <vt:variant>
        <vt:lpwstr>https://www.workandincome.govt.nz/documents/providers/housing-providers/transitional-housing/housing-privacy-consent-form.pdf</vt:lpwstr>
      </vt:variant>
      <vt:variant>
        <vt:lpwstr/>
      </vt:variant>
      <vt:variant>
        <vt:i4>7340129</vt:i4>
      </vt:variant>
      <vt:variant>
        <vt:i4>615</vt:i4>
      </vt:variant>
      <vt:variant>
        <vt:i4>0</vt:i4>
      </vt:variant>
      <vt:variant>
        <vt:i4>5</vt:i4>
      </vt:variant>
      <vt:variant>
        <vt:lpwstr/>
      </vt:variant>
      <vt:variant>
        <vt:lpwstr>AP2</vt:lpwstr>
      </vt:variant>
      <vt:variant>
        <vt:i4>6684777</vt:i4>
      </vt:variant>
      <vt:variant>
        <vt:i4>612</vt:i4>
      </vt:variant>
      <vt:variant>
        <vt:i4>0</vt:i4>
      </vt:variant>
      <vt:variant>
        <vt:i4>5</vt:i4>
      </vt:variant>
      <vt:variant>
        <vt:lpwstr>https://www.workandincome.govt.nz/map/income-support/extra-help/emergency-housing/immediate-emergency-housing-need.html</vt:lpwstr>
      </vt:variant>
      <vt:variant>
        <vt:lpwstr/>
      </vt:variant>
      <vt:variant>
        <vt:i4>8323123</vt:i4>
      </vt:variant>
      <vt:variant>
        <vt:i4>609</vt:i4>
      </vt:variant>
      <vt:variant>
        <vt:i4>0</vt:i4>
      </vt:variant>
      <vt:variant>
        <vt:i4>5</vt:i4>
      </vt:variant>
      <vt:variant>
        <vt:lpwstr>https://www.workandincome.govt.nz/products/a-z-benefits/youth-payment.html</vt:lpwstr>
      </vt:variant>
      <vt:variant>
        <vt:lpwstr/>
      </vt:variant>
      <vt:variant>
        <vt:i4>3866687</vt:i4>
      </vt:variant>
      <vt:variant>
        <vt:i4>606</vt:i4>
      </vt:variant>
      <vt:variant>
        <vt:i4>0</vt:i4>
      </vt:variant>
      <vt:variant>
        <vt:i4>5</vt:i4>
      </vt:variant>
      <vt:variant>
        <vt:lpwstr>https://www.workandincome.govt.nz/map/income-support/extra-help/emergency-housing/types-of-cash-assets.html</vt:lpwstr>
      </vt:variant>
      <vt:variant>
        <vt:lpwstr/>
      </vt:variant>
      <vt:variant>
        <vt:i4>1900623</vt:i4>
      </vt:variant>
      <vt:variant>
        <vt:i4>603</vt:i4>
      </vt:variant>
      <vt:variant>
        <vt:i4>0</vt:i4>
      </vt:variant>
      <vt:variant>
        <vt:i4>5</vt:i4>
      </vt:variant>
      <vt:variant>
        <vt:lpwstr>https://www.workandincome.govt.nz/map/income-support/extra-help/emergency-housing/cash-asset-limits.html</vt:lpwstr>
      </vt:variant>
      <vt:variant>
        <vt:lpwstr/>
      </vt:variant>
      <vt:variant>
        <vt:i4>1900569</vt:i4>
      </vt:variant>
      <vt:variant>
        <vt:i4>600</vt:i4>
      </vt:variant>
      <vt:variant>
        <vt:i4>0</vt:i4>
      </vt:variant>
      <vt:variant>
        <vt:i4>5</vt:i4>
      </vt:variant>
      <vt:variant>
        <vt:lpwstr>https://www.workandincome.govt.nz/map/income-support/extra-help/emergency-housing/exceptional-circumstances-for-income-and-cash-asset-limits.html</vt:lpwstr>
      </vt:variant>
      <vt:variant>
        <vt:lpwstr/>
      </vt:variant>
      <vt:variant>
        <vt:i4>6553637</vt:i4>
      </vt:variant>
      <vt:variant>
        <vt:i4>597</vt:i4>
      </vt:variant>
      <vt:variant>
        <vt:i4>0</vt:i4>
      </vt:variant>
      <vt:variant>
        <vt:i4>5</vt:i4>
      </vt:variant>
      <vt:variant>
        <vt:lpwstr>https://www.workandincome.govt.nz/map/deskfile/extra-help-information/emergency-housing-grant-tables/income-limits-current.html</vt:lpwstr>
      </vt:variant>
      <vt:variant>
        <vt:lpwstr/>
      </vt:variant>
      <vt:variant>
        <vt:i4>393229</vt:i4>
      </vt:variant>
      <vt:variant>
        <vt:i4>594</vt:i4>
      </vt:variant>
      <vt:variant>
        <vt:i4>0</vt:i4>
      </vt:variant>
      <vt:variant>
        <vt:i4>5</vt:i4>
      </vt:variant>
      <vt:variant>
        <vt:lpwstr>https://www.workandincome.govt.nz/map/income-support/extra-help/emergency-housing/residence-criteria.html</vt:lpwstr>
      </vt:variant>
      <vt:variant>
        <vt:lpwstr/>
      </vt:variant>
      <vt:variant>
        <vt:i4>5046319</vt:i4>
      </vt:variant>
      <vt:variant>
        <vt:i4>591</vt:i4>
      </vt:variant>
      <vt:variant>
        <vt:i4>0</vt:i4>
      </vt:variant>
      <vt:variant>
        <vt:i4>5</vt:i4>
      </vt:variant>
      <vt:variant>
        <vt:lpwstr>mailto:TH_vacancy_management@msd.govt.nz</vt:lpwstr>
      </vt:variant>
      <vt:variant>
        <vt:lpwstr/>
      </vt:variant>
      <vt:variant>
        <vt:i4>6291556</vt:i4>
      </vt:variant>
      <vt:variant>
        <vt:i4>588</vt:i4>
      </vt:variant>
      <vt:variant>
        <vt:i4>0</vt:i4>
      </vt:variant>
      <vt:variant>
        <vt:i4>5</vt:i4>
      </vt:variant>
      <vt:variant>
        <vt:lpwstr>https://msd.govt.nz/documents/what-we-can-do/providers/transitional-housing/thvm-tool-user-guide-for-providers.pdf</vt:lpwstr>
      </vt:variant>
      <vt:variant>
        <vt:lpwstr/>
      </vt:variant>
      <vt:variant>
        <vt:i4>7340129</vt:i4>
      </vt:variant>
      <vt:variant>
        <vt:i4>585</vt:i4>
      </vt:variant>
      <vt:variant>
        <vt:i4>0</vt:i4>
      </vt:variant>
      <vt:variant>
        <vt:i4>5</vt:i4>
      </vt:variant>
      <vt:variant>
        <vt:lpwstr/>
      </vt:variant>
      <vt:variant>
        <vt:lpwstr>AP1</vt:lpwstr>
      </vt:variant>
      <vt:variant>
        <vt:i4>1245242</vt:i4>
      </vt:variant>
      <vt:variant>
        <vt:i4>578</vt:i4>
      </vt:variant>
      <vt:variant>
        <vt:i4>0</vt:i4>
      </vt:variant>
      <vt:variant>
        <vt:i4>5</vt:i4>
      </vt:variant>
      <vt:variant>
        <vt:lpwstr/>
      </vt:variant>
      <vt:variant>
        <vt:lpwstr>_Toc208995985</vt:lpwstr>
      </vt:variant>
      <vt:variant>
        <vt:i4>1245242</vt:i4>
      </vt:variant>
      <vt:variant>
        <vt:i4>572</vt:i4>
      </vt:variant>
      <vt:variant>
        <vt:i4>0</vt:i4>
      </vt:variant>
      <vt:variant>
        <vt:i4>5</vt:i4>
      </vt:variant>
      <vt:variant>
        <vt:lpwstr/>
      </vt:variant>
      <vt:variant>
        <vt:lpwstr>_Toc208995984</vt:lpwstr>
      </vt:variant>
      <vt:variant>
        <vt:i4>1245242</vt:i4>
      </vt:variant>
      <vt:variant>
        <vt:i4>566</vt:i4>
      </vt:variant>
      <vt:variant>
        <vt:i4>0</vt:i4>
      </vt:variant>
      <vt:variant>
        <vt:i4>5</vt:i4>
      </vt:variant>
      <vt:variant>
        <vt:lpwstr/>
      </vt:variant>
      <vt:variant>
        <vt:lpwstr>_Toc208995983</vt:lpwstr>
      </vt:variant>
      <vt:variant>
        <vt:i4>1245242</vt:i4>
      </vt:variant>
      <vt:variant>
        <vt:i4>560</vt:i4>
      </vt:variant>
      <vt:variant>
        <vt:i4>0</vt:i4>
      </vt:variant>
      <vt:variant>
        <vt:i4>5</vt:i4>
      </vt:variant>
      <vt:variant>
        <vt:lpwstr/>
      </vt:variant>
      <vt:variant>
        <vt:lpwstr>_Toc208995982</vt:lpwstr>
      </vt:variant>
      <vt:variant>
        <vt:i4>1245242</vt:i4>
      </vt:variant>
      <vt:variant>
        <vt:i4>554</vt:i4>
      </vt:variant>
      <vt:variant>
        <vt:i4>0</vt:i4>
      </vt:variant>
      <vt:variant>
        <vt:i4>5</vt:i4>
      </vt:variant>
      <vt:variant>
        <vt:lpwstr/>
      </vt:variant>
      <vt:variant>
        <vt:lpwstr>_Toc208995981</vt:lpwstr>
      </vt:variant>
      <vt:variant>
        <vt:i4>1245242</vt:i4>
      </vt:variant>
      <vt:variant>
        <vt:i4>548</vt:i4>
      </vt:variant>
      <vt:variant>
        <vt:i4>0</vt:i4>
      </vt:variant>
      <vt:variant>
        <vt:i4>5</vt:i4>
      </vt:variant>
      <vt:variant>
        <vt:lpwstr/>
      </vt:variant>
      <vt:variant>
        <vt:lpwstr>_Toc208995980</vt:lpwstr>
      </vt:variant>
      <vt:variant>
        <vt:i4>1835066</vt:i4>
      </vt:variant>
      <vt:variant>
        <vt:i4>542</vt:i4>
      </vt:variant>
      <vt:variant>
        <vt:i4>0</vt:i4>
      </vt:variant>
      <vt:variant>
        <vt:i4>5</vt:i4>
      </vt:variant>
      <vt:variant>
        <vt:lpwstr/>
      </vt:variant>
      <vt:variant>
        <vt:lpwstr>_Toc208995979</vt:lpwstr>
      </vt:variant>
      <vt:variant>
        <vt:i4>1835066</vt:i4>
      </vt:variant>
      <vt:variant>
        <vt:i4>536</vt:i4>
      </vt:variant>
      <vt:variant>
        <vt:i4>0</vt:i4>
      </vt:variant>
      <vt:variant>
        <vt:i4>5</vt:i4>
      </vt:variant>
      <vt:variant>
        <vt:lpwstr/>
      </vt:variant>
      <vt:variant>
        <vt:lpwstr>_Toc208995978</vt:lpwstr>
      </vt:variant>
      <vt:variant>
        <vt:i4>1835066</vt:i4>
      </vt:variant>
      <vt:variant>
        <vt:i4>530</vt:i4>
      </vt:variant>
      <vt:variant>
        <vt:i4>0</vt:i4>
      </vt:variant>
      <vt:variant>
        <vt:i4>5</vt:i4>
      </vt:variant>
      <vt:variant>
        <vt:lpwstr/>
      </vt:variant>
      <vt:variant>
        <vt:lpwstr>_Toc208995977</vt:lpwstr>
      </vt:variant>
      <vt:variant>
        <vt:i4>1835066</vt:i4>
      </vt:variant>
      <vt:variant>
        <vt:i4>524</vt:i4>
      </vt:variant>
      <vt:variant>
        <vt:i4>0</vt:i4>
      </vt:variant>
      <vt:variant>
        <vt:i4>5</vt:i4>
      </vt:variant>
      <vt:variant>
        <vt:lpwstr/>
      </vt:variant>
      <vt:variant>
        <vt:lpwstr>_Toc208995976</vt:lpwstr>
      </vt:variant>
      <vt:variant>
        <vt:i4>1835066</vt:i4>
      </vt:variant>
      <vt:variant>
        <vt:i4>518</vt:i4>
      </vt:variant>
      <vt:variant>
        <vt:i4>0</vt:i4>
      </vt:variant>
      <vt:variant>
        <vt:i4>5</vt:i4>
      </vt:variant>
      <vt:variant>
        <vt:lpwstr/>
      </vt:variant>
      <vt:variant>
        <vt:lpwstr>_Toc208995975</vt:lpwstr>
      </vt:variant>
      <vt:variant>
        <vt:i4>1835066</vt:i4>
      </vt:variant>
      <vt:variant>
        <vt:i4>512</vt:i4>
      </vt:variant>
      <vt:variant>
        <vt:i4>0</vt:i4>
      </vt:variant>
      <vt:variant>
        <vt:i4>5</vt:i4>
      </vt:variant>
      <vt:variant>
        <vt:lpwstr/>
      </vt:variant>
      <vt:variant>
        <vt:lpwstr>_Toc208995974</vt:lpwstr>
      </vt:variant>
      <vt:variant>
        <vt:i4>1835066</vt:i4>
      </vt:variant>
      <vt:variant>
        <vt:i4>506</vt:i4>
      </vt:variant>
      <vt:variant>
        <vt:i4>0</vt:i4>
      </vt:variant>
      <vt:variant>
        <vt:i4>5</vt:i4>
      </vt:variant>
      <vt:variant>
        <vt:lpwstr/>
      </vt:variant>
      <vt:variant>
        <vt:lpwstr>_Toc208995973</vt:lpwstr>
      </vt:variant>
      <vt:variant>
        <vt:i4>1835066</vt:i4>
      </vt:variant>
      <vt:variant>
        <vt:i4>500</vt:i4>
      </vt:variant>
      <vt:variant>
        <vt:i4>0</vt:i4>
      </vt:variant>
      <vt:variant>
        <vt:i4>5</vt:i4>
      </vt:variant>
      <vt:variant>
        <vt:lpwstr/>
      </vt:variant>
      <vt:variant>
        <vt:lpwstr>_Toc208995972</vt:lpwstr>
      </vt:variant>
      <vt:variant>
        <vt:i4>1835066</vt:i4>
      </vt:variant>
      <vt:variant>
        <vt:i4>494</vt:i4>
      </vt:variant>
      <vt:variant>
        <vt:i4>0</vt:i4>
      </vt:variant>
      <vt:variant>
        <vt:i4>5</vt:i4>
      </vt:variant>
      <vt:variant>
        <vt:lpwstr/>
      </vt:variant>
      <vt:variant>
        <vt:lpwstr>_Toc208995971</vt:lpwstr>
      </vt:variant>
      <vt:variant>
        <vt:i4>1835066</vt:i4>
      </vt:variant>
      <vt:variant>
        <vt:i4>488</vt:i4>
      </vt:variant>
      <vt:variant>
        <vt:i4>0</vt:i4>
      </vt:variant>
      <vt:variant>
        <vt:i4>5</vt:i4>
      </vt:variant>
      <vt:variant>
        <vt:lpwstr/>
      </vt:variant>
      <vt:variant>
        <vt:lpwstr>_Toc208995970</vt:lpwstr>
      </vt:variant>
      <vt:variant>
        <vt:i4>1900602</vt:i4>
      </vt:variant>
      <vt:variant>
        <vt:i4>482</vt:i4>
      </vt:variant>
      <vt:variant>
        <vt:i4>0</vt:i4>
      </vt:variant>
      <vt:variant>
        <vt:i4>5</vt:i4>
      </vt:variant>
      <vt:variant>
        <vt:lpwstr/>
      </vt:variant>
      <vt:variant>
        <vt:lpwstr>_Toc208995969</vt:lpwstr>
      </vt:variant>
      <vt:variant>
        <vt:i4>1900602</vt:i4>
      </vt:variant>
      <vt:variant>
        <vt:i4>476</vt:i4>
      </vt:variant>
      <vt:variant>
        <vt:i4>0</vt:i4>
      </vt:variant>
      <vt:variant>
        <vt:i4>5</vt:i4>
      </vt:variant>
      <vt:variant>
        <vt:lpwstr/>
      </vt:variant>
      <vt:variant>
        <vt:lpwstr>_Toc208995968</vt:lpwstr>
      </vt:variant>
      <vt:variant>
        <vt:i4>1900602</vt:i4>
      </vt:variant>
      <vt:variant>
        <vt:i4>470</vt:i4>
      </vt:variant>
      <vt:variant>
        <vt:i4>0</vt:i4>
      </vt:variant>
      <vt:variant>
        <vt:i4>5</vt:i4>
      </vt:variant>
      <vt:variant>
        <vt:lpwstr/>
      </vt:variant>
      <vt:variant>
        <vt:lpwstr>_Toc208995967</vt:lpwstr>
      </vt:variant>
      <vt:variant>
        <vt:i4>1900602</vt:i4>
      </vt:variant>
      <vt:variant>
        <vt:i4>464</vt:i4>
      </vt:variant>
      <vt:variant>
        <vt:i4>0</vt:i4>
      </vt:variant>
      <vt:variant>
        <vt:i4>5</vt:i4>
      </vt:variant>
      <vt:variant>
        <vt:lpwstr/>
      </vt:variant>
      <vt:variant>
        <vt:lpwstr>_Toc208995966</vt:lpwstr>
      </vt:variant>
      <vt:variant>
        <vt:i4>1900602</vt:i4>
      </vt:variant>
      <vt:variant>
        <vt:i4>458</vt:i4>
      </vt:variant>
      <vt:variant>
        <vt:i4>0</vt:i4>
      </vt:variant>
      <vt:variant>
        <vt:i4>5</vt:i4>
      </vt:variant>
      <vt:variant>
        <vt:lpwstr/>
      </vt:variant>
      <vt:variant>
        <vt:lpwstr>_Toc208995965</vt:lpwstr>
      </vt:variant>
      <vt:variant>
        <vt:i4>1900602</vt:i4>
      </vt:variant>
      <vt:variant>
        <vt:i4>452</vt:i4>
      </vt:variant>
      <vt:variant>
        <vt:i4>0</vt:i4>
      </vt:variant>
      <vt:variant>
        <vt:i4>5</vt:i4>
      </vt:variant>
      <vt:variant>
        <vt:lpwstr/>
      </vt:variant>
      <vt:variant>
        <vt:lpwstr>_Toc208995964</vt:lpwstr>
      </vt:variant>
      <vt:variant>
        <vt:i4>1900602</vt:i4>
      </vt:variant>
      <vt:variant>
        <vt:i4>446</vt:i4>
      </vt:variant>
      <vt:variant>
        <vt:i4>0</vt:i4>
      </vt:variant>
      <vt:variant>
        <vt:i4>5</vt:i4>
      </vt:variant>
      <vt:variant>
        <vt:lpwstr/>
      </vt:variant>
      <vt:variant>
        <vt:lpwstr>_Toc208995963</vt:lpwstr>
      </vt:variant>
      <vt:variant>
        <vt:i4>1900602</vt:i4>
      </vt:variant>
      <vt:variant>
        <vt:i4>440</vt:i4>
      </vt:variant>
      <vt:variant>
        <vt:i4>0</vt:i4>
      </vt:variant>
      <vt:variant>
        <vt:i4>5</vt:i4>
      </vt:variant>
      <vt:variant>
        <vt:lpwstr/>
      </vt:variant>
      <vt:variant>
        <vt:lpwstr>_Toc208995962</vt:lpwstr>
      </vt:variant>
      <vt:variant>
        <vt:i4>1900602</vt:i4>
      </vt:variant>
      <vt:variant>
        <vt:i4>434</vt:i4>
      </vt:variant>
      <vt:variant>
        <vt:i4>0</vt:i4>
      </vt:variant>
      <vt:variant>
        <vt:i4>5</vt:i4>
      </vt:variant>
      <vt:variant>
        <vt:lpwstr/>
      </vt:variant>
      <vt:variant>
        <vt:lpwstr>_Toc208995961</vt:lpwstr>
      </vt:variant>
      <vt:variant>
        <vt:i4>1900602</vt:i4>
      </vt:variant>
      <vt:variant>
        <vt:i4>428</vt:i4>
      </vt:variant>
      <vt:variant>
        <vt:i4>0</vt:i4>
      </vt:variant>
      <vt:variant>
        <vt:i4>5</vt:i4>
      </vt:variant>
      <vt:variant>
        <vt:lpwstr/>
      </vt:variant>
      <vt:variant>
        <vt:lpwstr>_Toc208995960</vt:lpwstr>
      </vt:variant>
      <vt:variant>
        <vt:i4>1966138</vt:i4>
      </vt:variant>
      <vt:variant>
        <vt:i4>422</vt:i4>
      </vt:variant>
      <vt:variant>
        <vt:i4>0</vt:i4>
      </vt:variant>
      <vt:variant>
        <vt:i4>5</vt:i4>
      </vt:variant>
      <vt:variant>
        <vt:lpwstr/>
      </vt:variant>
      <vt:variant>
        <vt:lpwstr>_Toc208995959</vt:lpwstr>
      </vt:variant>
      <vt:variant>
        <vt:i4>1966138</vt:i4>
      </vt:variant>
      <vt:variant>
        <vt:i4>416</vt:i4>
      </vt:variant>
      <vt:variant>
        <vt:i4>0</vt:i4>
      </vt:variant>
      <vt:variant>
        <vt:i4>5</vt:i4>
      </vt:variant>
      <vt:variant>
        <vt:lpwstr/>
      </vt:variant>
      <vt:variant>
        <vt:lpwstr>_Toc208995958</vt:lpwstr>
      </vt:variant>
      <vt:variant>
        <vt:i4>1966138</vt:i4>
      </vt:variant>
      <vt:variant>
        <vt:i4>410</vt:i4>
      </vt:variant>
      <vt:variant>
        <vt:i4>0</vt:i4>
      </vt:variant>
      <vt:variant>
        <vt:i4>5</vt:i4>
      </vt:variant>
      <vt:variant>
        <vt:lpwstr/>
      </vt:variant>
      <vt:variant>
        <vt:lpwstr>_Toc208995957</vt:lpwstr>
      </vt:variant>
      <vt:variant>
        <vt:i4>1966138</vt:i4>
      </vt:variant>
      <vt:variant>
        <vt:i4>404</vt:i4>
      </vt:variant>
      <vt:variant>
        <vt:i4>0</vt:i4>
      </vt:variant>
      <vt:variant>
        <vt:i4>5</vt:i4>
      </vt:variant>
      <vt:variant>
        <vt:lpwstr/>
      </vt:variant>
      <vt:variant>
        <vt:lpwstr>_Toc208995956</vt:lpwstr>
      </vt:variant>
      <vt:variant>
        <vt:i4>1966138</vt:i4>
      </vt:variant>
      <vt:variant>
        <vt:i4>398</vt:i4>
      </vt:variant>
      <vt:variant>
        <vt:i4>0</vt:i4>
      </vt:variant>
      <vt:variant>
        <vt:i4>5</vt:i4>
      </vt:variant>
      <vt:variant>
        <vt:lpwstr/>
      </vt:variant>
      <vt:variant>
        <vt:lpwstr>_Toc208995955</vt:lpwstr>
      </vt:variant>
      <vt:variant>
        <vt:i4>1966138</vt:i4>
      </vt:variant>
      <vt:variant>
        <vt:i4>392</vt:i4>
      </vt:variant>
      <vt:variant>
        <vt:i4>0</vt:i4>
      </vt:variant>
      <vt:variant>
        <vt:i4>5</vt:i4>
      </vt:variant>
      <vt:variant>
        <vt:lpwstr/>
      </vt:variant>
      <vt:variant>
        <vt:lpwstr>_Toc208995954</vt:lpwstr>
      </vt:variant>
      <vt:variant>
        <vt:i4>1966138</vt:i4>
      </vt:variant>
      <vt:variant>
        <vt:i4>386</vt:i4>
      </vt:variant>
      <vt:variant>
        <vt:i4>0</vt:i4>
      </vt:variant>
      <vt:variant>
        <vt:i4>5</vt:i4>
      </vt:variant>
      <vt:variant>
        <vt:lpwstr/>
      </vt:variant>
      <vt:variant>
        <vt:lpwstr>_Toc208995953</vt:lpwstr>
      </vt:variant>
      <vt:variant>
        <vt:i4>1966138</vt:i4>
      </vt:variant>
      <vt:variant>
        <vt:i4>380</vt:i4>
      </vt:variant>
      <vt:variant>
        <vt:i4>0</vt:i4>
      </vt:variant>
      <vt:variant>
        <vt:i4>5</vt:i4>
      </vt:variant>
      <vt:variant>
        <vt:lpwstr/>
      </vt:variant>
      <vt:variant>
        <vt:lpwstr>_Toc208995952</vt:lpwstr>
      </vt:variant>
      <vt:variant>
        <vt:i4>1966138</vt:i4>
      </vt:variant>
      <vt:variant>
        <vt:i4>374</vt:i4>
      </vt:variant>
      <vt:variant>
        <vt:i4>0</vt:i4>
      </vt:variant>
      <vt:variant>
        <vt:i4>5</vt:i4>
      </vt:variant>
      <vt:variant>
        <vt:lpwstr/>
      </vt:variant>
      <vt:variant>
        <vt:lpwstr>_Toc208995951</vt:lpwstr>
      </vt:variant>
      <vt:variant>
        <vt:i4>1966138</vt:i4>
      </vt:variant>
      <vt:variant>
        <vt:i4>368</vt:i4>
      </vt:variant>
      <vt:variant>
        <vt:i4>0</vt:i4>
      </vt:variant>
      <vt:variant>
        <vt:i4>5</vt:i4>
      </vt:variant>
      <vt:variant>
        <vt:lpwstr/>
      </vt:variant>
      <vt:variant>
        <vt:lpwstr>_Toc208995950</vt:lpwstr>
      </vt:variant>
      <vt:variant>
        <vt:i4>2031674</vt:i4>
      </vt:variant>
      <vt:variant>
        <vt:i4>362</vt:i4>
      </vt:variant>
      <vt:variant>
        <vt:i4>0</vt:i4>
      </vt:variant>
      <vt:variant>
        <vt:i4>5</vt:i4>
      </vt:variant>
      <vt:variant>
        <vt:lpwstr/>
      </vt:variant>
      <vt:variant>
        <vt:lpwstr>_Toc208995949</vt:lpwstr>
      </vt:variant>
      <vt:variant>
        <vt:i4>2031674</vt:i4>
      </vt:variant>
      <vt:variant>
        <vt:i4>356</vt:i4>
      </vt:variant>
      <vt:variant>
        <vt:i4>0</vt:i4>
      </vt:variant>
      <vt:variant>
        <vt:i4>5</vt:i4>
      </vt:variant>
      <vt:variant>
        <vt:lpwstr/>
      </vt:variant>
      <vt:variant>
        <vt:lpwstr>_Toc208995948</vt:lpwstr>
      </vt:variant>
      <vt:variant>
        <vt:i4>2031674</vt:i4>
      </vt:variant>
      <vt:variant>
        <vt:i4>350</vt:i4>
      </vt:variant>
      <vt:variant>
        <vt:i4>0</vt:i4>
      </vt:variant>
      <vt:variant>
        <vt:i4>5</vt:i4>
      </vt:variant>
      <vt:variant>
        <vt:lpwstr/>
      </vt:variant>
      <vt:variant>
        <vt:lpwstr>_Toc208995947</vt:lpwstr>
      </vt:variant>
      <vt:variant>
        <vt:i4>2031674</vt:i4>
      </vt:variant>
      <vt:variant>
        <vt:i4>344</vt:i4>
      </vt:variant>
      <vt:variant>
        <vt:i4>0</vt:i4>
      </vt:variant>
      <vt:variant>
        <vt:i4>5</vt:i4>
      </vt:variant>
      <vt:variant>
        <vt:lpwstr/>
      </vt:variant>
      <vt:variant>
        <vt:lpwstr>_Toc208995946</vt:lpwstr>
      </vt:variant>
      <vt:variant>
        <vt:i4>2031674</vt:i4>
      </vt:variant>
      <vt:variant>
        <vt:i4>338</vt:i4>
      </vt:variant>
      <vt:variant>
        <vt:i4>0</vt:i4>
      </vt:variant>
      <vt:variant>
        <vt:i4>5</vt:i4>
      </vt:variant>
      <vt:variant>
        <vt:lpwstr/>
      </vt:variant>
      <vt:variant>
        <vt:lpwstr>_Toc208995945</vt:lpwstr>
      </vt:variant>
      <vt:variant>
        <vt:i4>2031674</vt:i4>
      </vt:variant>
      <vt:variant>
        <vt:i4>332</vt:i4>
      </vt:variant>
      <vt:variant>
        <vt:i4>0</vt:i4>
      </vt:variant>
      <vt:variant>
        <vt:i4>5</vt:i4>
      </vt:variant>
      <vt:variant>
        <vt:lpwstr/>
      </vt:variant>
      <vt:variant>
        <vt:lpwstr>_Toc208995944</vt:lpwstr>
      </vt:variant>
      <vt:variant>
        <vt:i4>2031674</vt:i4>
      </vt:variant>
      <vt:variant>
        <vt:i4>326</vt:i4>
      </vt:variant>
      <vt:variant>
        <vt:i4>0</vt:i4>
      </vt:variant>
      <vt:variant>
        <vt:i4>5</vt:i4>
      </vt:variant>
      <vt:variant>
        <vt:lpwstr/>
      </vt:variant>
      <vt:variant>
        <vt:lpwstr>_Toc208995943</vt:lpwstr>
      </vt:variant>
      <vt:variant>
        <vt:i4>2031674</vt:i4>
      </vt:variant>
      <vt:variant>
        <vt:i4>320</vt:i4>
      </vt:variant>
      <vt:variant>
        <vt:i4>0</vt:i4>
      </vt:variant>
      <vt:variant>
        <vt:i4>5</vt:i4>
      </vt:variant>
      <vt:variant>
        <vt:lpwstr/>
      </vt:variant>
      <vt:variant>
        <vt:lpwstr>_Toc208995942</vt:lpwstr>
      </vt:variant>
      <vt:variant>
        <vt:i4>2031674</vt:i4>
      </vt:variant>
      <vt:variant>
        <vt:i4>314</vt:i4>
      </vt:variant>
      <vt:variant>
        <vt:i4>0</vt:i4>
      </vt:variant>
      <vt:variant>
        <vt:i4>5</vt:i4>
      </vt:variant>
      <vt:variant>
        <vt:lpwstr/>
      </vt:variant>
      <vt:variant>
        <vt:lpwstr>_Toc208995941</vt:lpwstr>
      </vt:variant>
      <vt:variant>
        <vt:i4>2031674</vt:i4>
      </vt:variant>
      <vt:variant>
        <vt:i4>308</vt:i4>
      </vt:variant>
      <vt:variant>
        <vt:i4>0</vt:i4>
      </vt:variant>
      <vt:variant>
        <vt:i4>5</vt:i4>
      </vt:variant>
      <vt:variant>
        <vt:lpwstr/>
      </vt:variant>
      <vt:variant>
        <vt:lpwstr>_Toc208995940</vt:lpwstr>
      </vt:variant>
      <vt:variant>
        <vt:i4>1572922</vt:i4>
      </vt:variant>
      <vt:variant>
        <vt:i4>302</vt:i4>
      </vt:variant>
      <vt:variant>
        <vt:i4>0</vt:i4>
      </vt:variant>
      <vt:variant>
        <vt:i4>5</vt:i4>
      </vt:variant>
      <vt:variant>
        <vt:lpwstr/>
      </vt:variant>
      <vt:variant>
        <vt:lpwstr>_Toc208995939</vt:lpwstr>
      </vt:variant>
      <vt:variant>
        <vt:i4>1572922</vt:i4>
      </vt:variant>
      <vt:variant>
        <vt:i4>296</vt:i4>
      </vt:variant>
      <vt:variant>
        <vt:i4>0</vt:i4>
      </vt:variant>
      <vt:variant>
        <vt:i4>5</vt:i4>
      </vt:variant>
      <vt:variant>
        <vt:lpwstr/>
      </vt:variant>
      <vt:variant>
        <vt:lpwstr>_Toc208995938</vt:lpwstr>
      </vt:variant>
      <vt:variant>
        <vt:i4>1572922</vt:i4>
      </vt:variant>
      <vt:variant>
        <vt:i4>290</vt:i4>
      </vt:variant>
      <vt:variant>
        <vt:i4>0</vt:i4>
      </vt:variant>
      <vt:variant>
        <vt:i4>5</vt:i4>
      </vt:variant>
      <vt:variant>
        <vt:lpwstr/>
      </vt:variant>
      <vt:variant>
        <vt:lpwstr>_Toc208995937</vt:lpwstr>
      </vt:variant>
      <vt:variant>
        <vt:i4>1572922</vt:i4>
      </vt:variant>
      <vt:variant>
        <vt:i4>284</vt:i4>
      </vt:variant>
      <vt:variant>
        <vt:i4>0</vt:i4>
      </vt:variant>
      <vt:variant>
        <vt:i4>5</vt:i4>
      </vt:variant>
      <vt:variant>
        <vt:lpwstr/>
      </vt:variant>
      <vt:variant>
        <vt:lpwstr>_Toc208995936</vt:lpwstr>
      </vt:variant>
      <vt:variant>
        <vt:i4>1572922</vt:i4>
      </vt:variant>
      <vt:variant>
        <vt:i4>278</vt:i4>
      </vt:variant>
      <vt:variant>
        <vt:i4>0</vt:i4>
      </vt:variant>
      <vt:variant>
        <vt:i4>5</vt:i4>
      </vt:variant>
      <vt:variant>
        <vt:lpwstr/>
      </vt:variant>
      <vt:variant>
        <vt:lpwstr>_Toc208995935</vt:lpwstr>
      </vt:variant>
      <vt:variant>
        <vt:i4>1572922</vt:i4>
      </vt:variant>
      <vt:variant>
        <vt:i4>272</vt:i4>
      </vt:variant>
      <vt:variant>
        <vt:i4>0</vt:i4>
      </vt:variant>
      <vt:variant>
        <vt:i4>5</vt:i4>
      </vt:variant>
      <vt:variant>
        <vt:lpwstr/>
      </vt:variant>
      <vt:variant>
        <vt:lpwstr>_Toc208995934</vt:lpwstr>
      </vt:variant>
      <vt:variant>
        <vt:i4>1572922</vt:i4>
      </vt:variant>
      <vt:variant>
        <vt:i4>266</vt:i4>
      </vt:variant>
      <vt:variant>
        <vt:i4>0</vt:i4>
      </vt:variant>
      <vt:variant>
        <vt:i4>5</vt:i4>
      </vt:variant>
      <vt:variant>
        <vt:lpwstr/>
      </vt:variant>
      <vt:variant>
        <vt:lpwstr>_Toc208995933</vt:lpwstr>
      </vt:variant>
      <vt:variant>
        <vt:i4>1572922</vt:i4>
      </vt:variant>
      <vt:variant>
        <vt:i4>260</vt:i4>
      </vt:variant>
      <vt:variant>
        <vt:i4>0</vt:i4>
      </vt:variant>
      <vt:variant>
        <vt:i4>5</vt:i4>
      </vt:variant>
      <vt:variant>
        <vt:lpwstr/>
      </vt:variant>
      <vt:variant>
        <vt:lpwstr>_Toc208995932</vt:lpwstr>
      </vt:variant>
      <vt:variant>
        <vt:i4>1572922</vt:i4>
      </vt:variant>
      <vt:variant>
        <vt:i4>254</vt:i4>
      </vt:variant>
      <vt:variant>
        <vt:i4>0</vt:i4>
      </vt:variant>
      <vt:variant>
        <vt:i4>5</vt:i4>
      </vt:variant>
      <vt:variant>
        <vt:lpwstr/>
      </vt:variant>
      <vt:variant>
        <vt:lpwstr>_Toc208995931</vt:lpwstr>
      </vt:variant>
      <vt:variant>
        <vt:i4>1572922</vt:i4>
      </vt:variant>
      <vt:variant>
        <vt:i4>248</vt:i4>
      </vt:variant>
      <vt:variant>
        <vt:i4>0</vt:i4>
      </vt:variant>
      <vt:variant>
        <vt:i4>5</vt:i4>
      </vt:variant>
      <vt:variant>
        <vt:lpwstr/>
      </vt:variant>
      <vt:variant>
        <vt:lpwstr>_Toc208995930</vt:lpwstr>
      </vt:variant>
      <vt:variant>
        <vt:i4>1638458</vt:i4>
      </vt:variant>
      <vt:variant>
        <vt:i4>242</vt:i4>
      </vt:variant>
      <vt:variant>
        <vt:i4>0</vt:i4>
      </vt:variant>
      <vt:variant>
        <vt:i4>5</vt:i4>
      </vt:variant>
      <vt:variant>
        <vt:lpwstr/>
      </vt:variant>
      <vt:variant>
        <vt:lpwstr>_Toc208995929</vt:lpwstr>
      </vt:variant>
      <vt:variant>
        <vt:i4>1638458</vt:i4>
      </vt:variant>
      <vt:variant>
        <vt:i4>236</vt:i4>
      </vt:variant>
      <vt:variant>
        <vt:i4>0</vt:i4>
      </vt:variant>
      <vt:variant>
        <vt:i4>5</vt:i4>
      </vt:variant>
      <vt:variant>
        <vt:lpwstr/>
      </vt:variant>
      <vt:variant>
        <vt:lpwstr>_Toc208995928</vt:lpwstr>
      </vt:variant>
      <vt:variant>
        <vt:i4>1638458</vt:i4>
      </vt:variant>
      <vt:variant>
        <vt:i4>230</vt:i4>
      </vt:variant>
      <vt:variant>
        <vt:i4>0</vt:i4>
      </vt:variant>
      <vt:variant>
        <vt:i4>5</vt:i4>
      </vt:variant>
      <vt:variant>
        <vt:lpwstr/>
      </vt:variant>
      <vt:variant>
        <vt:lpwstr>_Toc208995927</vt:lpwstr>
      </vt:variant>
      <vt:variant>
        <vt:i4>1638458</vt:i4>
      </vt:variant>
      <vt:variant>
        <vt:i4>224</vt:i4>
      </vt:variant>
      <vt:variant>
        <vt:i4>0</vt:i4>
      </vt:variant>
      <vt:variant>
        <vt:i4>5</vt:i4>
      </vt:variant>
      <vt:variant>
        <vt:lpwstr/>
      </vt:variant>
      <vt:variant>
        <vt:lpwstr>_Toc208995926</vt:lpwstr>
      </vt:variant>
      <vt:variant>
        <vt:i4>1638458</vt:i4>
      </vt:variant>
      <vt:variant>
        <vt:i4>218</vt:i4>
      </vt:variant>
      <vt:variant>
        <vt:i4>0</vt:i4>
      </vt:variant>
      <vt:variant>
        <vt:i4>5</vt:i4>
      </vt:variant>
      <vt:variant>
        <vt:lpwstr/>
      </vt:variant>
      <vt:variant>
        <vt:lpwstr>_Toc208995925</vt:lpwstr>
      </vt:variant>
      <vt:variant>
        <vt:i4>1638458</vt:i4>
      </vt:variant>
      <vt:variant>
        <vt:i4>212</vt:i4>
      </vt:variant>
      <vt:variant>
        <vt:i4>0</vt:i4>
      </vt:variant>
      <vt:variant>
        <vt:i4>5</vt:i4>
      </vt:variant>
      <vt:variant>
        <vt:lpwstr/>
      </vt:variant>
      <vt:variant>
        <vt:lpwstr>_Toc208995924</vt:lpwstr>
      </vt:variant>
      <vt:variant>
        <vt:i4>1638458</vt:i4>
      </vt:variant>
      <vt:variant>
        <vt:i4>206</vt:i4>
      </vt:variant>
      <vt:variant>
        <vt:i4>0</vt:i4>
      </vt:variant>
      <vt:variant>
        <vt:i4>5</vt:i4>
      </vt:variant>
      <vt:variant>
        <vt:lpwstr/>
      </vt:variant>
      <vt:variant>
        <vt:lpwstr>_Toc208995923</vt:lpwstr>
      </vt:variant>
      <vt:variant>
        <vt:i4>1638458</vt:i4>
      </vt:variant>
      <vt:variant>
        <vt:i4>200</vt:i4>
      </vt:variant>
      <vt:variant>
        <vt:i4>0</vt:i4>
      </vt:variant>
      <vt:variant>
        <vt:i4>5</vt:i4>
      </vt:variant>
      <vt:variant>
        <vt:lpwstr/>
      </vt:variant>
      <vt:variant>
        <vt:lpwstr>_Toc208995922</vt:lpwstr>
      </vt:variant>
      <vt:variant>
        <vt:i4>1638458</vt:i4>
      </vt:variant>
      <vt:variant>
        <vt:i4>194</vt:i4>
      </vt:variant>
      <vt:variant>
        <vt:i4>0</vt:i4>
      </vt:variant>
      <vt:variant>
        <vt:i4>5</vt:i4>
      </vt:variant>
      <vt:variant>
        <vt:lpwstr/>
      </vt:variant>
      <vt:variant>
        <vt:lpwstr>_Toc208995921</vt:lpwstr>
      </vt:variant>
      <vt:variant>
        <vt:i4>1638458</vt:i4>
      </vt:variant>
      <vt:variant>
        <vt:i4>188</vt:i4>
      </vt:variant>
      <vt:variant>
        <vt:i4>0</vt:i4>
      </vt:variant>
      <vt:variant>
        <vt:i4>5</vt:i4>
      </vt:variant>
      <vt:variant>
        <vt:lpwstr/>
      </vt:variant>
      <vt:variant>
        <vt:lpwstr>_Toc208995920</vt:lpwstr>
      </vt:variant>
      <vt:variant>
        <vt:i4>1703994</vt:i4>
      </vt:variant>
      <vt:variant>
        <vt:i4>182</vt:i4>
      </vt:variant>
      <vt:variant>
        <vt:i4>0</vt:i4>
      </vt:variant>
      <vt:variant>
        <vt:i4>5</vt:i4>
      </vt:variant>
      <vt:variant>
        <vt:lpwstr/>
      </vt:variant>
      <vt:variant>
        <vt:lpwstr>_Toc208995919</vt:lpwstr>
      </vt:variant>
      <vt:variant>
        <vt:i4>1703994</vt:i4>
      </vt:variant>
      <vt:variant>
        <vt:i4>176</vt:i4>
      </vt:variant>
      <vt:variant>
        <vt:i4>0</vt:i4>
      </vt:variant>
      <vt:variant>
        <vt:i4>5</vt:i4>
      </vt:variant>
      <vt:variant>
        <vt:lpwstr/>
      </vt:variant>
      <vt:variant>
        <vt:lpwstr>_Toc208995918</vt:lpwstr>
      </vt:variant>
      <vt:variant>
        <vt:i4>1703994</vt:i4>
      </vt:variant>
      <vt:variant>
        <vt:i4>170</vt:i4>
      </vt:variant>
      <vt:variant>
        <vt:i4>0</vt:i4>
      </vt:variant>
      <vt:variant>
        <vt:i4>5</vt:i4>
      </vt:variant>
      <vt:variant>
        <vt:lpwstr/>
      </vt:variant>
      <vt:variant>
        <vt:lpwstr>_Toc208995917</vt:lpwstr>
      </vt:variant>
      <vt:variant>
        <vt:i4>1703994</vt:i4>
      </vt:variant>
      <vt:variant>
        <vt:i4>164</vt:i4>
      </vt:variant>
      <vt:variant>
        <vt:i4>0</vt:i4>
      </vt:variant>
      <vt:variant>
        <vt:i4>5</vt:i4>
      </vt:variant>
      <vt:variant>
        <vt:lpwstr/>
      </vt:variant>
      <vt:variant>
        <vt:lpwstr>_Toc208995916</vt:lpwstr>
      </vt:variant>
      <vt:variant>
        <vt:i4>1703994</vt:i4>
      </vt:variant>
      <vt:variant>
        <vt:i4>158</vt:i4>
      </vt:variant>
      <vt:variant>
        <vt:i4>0</vt:i4>
      </vt:variant>
      <vt:variant>
        <vt:i4>5</vt:i4>
      </vt:variant>
      <vt:variant>
        <vt:lpwstr/>
      </vt:variant>
      <vt:variant>
        <vt:lpwstr>_Toc208995915</vt:lpwstr>
      </vt:variant>
      <vt:variant>
        <vt:i4>1703994</vt:i4>
      </vt:variant>
      <vt:variant>
        <vt:i4>152</vt:i4>
      </vt:variant>
      <vt:variant>
        <vt:i4>0</vt:i4>
      </vt:variant>
      <vt:variant>
        <vt:i4>5</vt:i4>
      </vt:variant>
      <vt:variant>
        <vt:lpwstr/>
      </vt:variant>
      <vt:variant>
        <vt:lpwstr>_Toc208995914</vt:lpwstr>
      </vt:variant>
      <vt:variant>
        <vt:i4>1703994</vt:i4>
      </vt:variant>
      <vt:variant>
        <vt:i4>146</vt:i4>
      </vt:variant>
      <vt:variant>
        <vt:i4>0</vt:i4>
      </vt:variant>
      <vt:variant>
        <vt:i4>5</vt:i4>
      </vt:variant>
      <vt:variant>
        <vt:lpwstr/>
      </vt:variant>
      <vt:variant>
        <vt:lpwstr>_Toc208995913</vt:lpwstr>
      </vt:variant>
      <vt:variant>
        <vt:i4>1703994</vt:i4>
      </vt:variant>
      <vt:variant>
        <vt:i4>140</vt:i4>
      </vt:variant>
      <vt:variant>
        <vt:i4>0</vt:i4>
      </vt:variant>
      <vt:variant>
        <vt:i4>5</vt:i4>
      </vt:variant>
      <vt:variant>
        <vt:lpwstr/>
      </vt:variant>
      <vt:variant>
        <vt:lpwstr>_Toc208995912</vt:lpwstr>
      </vt:variant>
      <vt:variant>
        <vt:i4>1703994</vt:i4>
      </vt:variant>
      <vt:variant>
        <vt:i4>134</vt:i4>
      </vt:variant>
      <vt:variant>
        <vt:i4>0</vt:i4>
      </vt:variant>
      <vt:variant>
        <vt:i4>5</vt:i4>
      </vt:variant>
      <vt:variant>
        <vt:lpwstr/>
      </vt:variant>
      <vt:variant>
        <vt:lpwstr>_Toc208995911</vt:lpwstr>
      </vt:variant>
      <vt:variant>
        <vt:i4>1703994</vt:i4>
      </vt:variant>
      <vt:variant>
        <vt:i4>128</vt:i4>
      </vt:variant>
      <vt:variant>
        <vt:i4>0</vt:i4>
      </vt:variant>
      <vt:variant>
        <vt:i4>5</vt:i4>
      </vt:variant>
      <vt:variant>
        <vt:lpwstr/>
      </vt:variant>
      <vt:variant>
        <vt:lpwstr>_Toc208995910</vt:lpwstr>
      </vt:variant>
      <vt:variant>
        <vt:i4>1769530</vt:i4>
      </vt:variant>
      <vt:variant>
        <vt:i4>122</vt:i4>
      </vt:variant>
      <vt:variant>
        <vt:i4>0</vt:i4>
      </vt:variant>
      <vt:variant>
        <vt:i4>5</vt:i4>
      </vt:variant>
      <vt:variant>
        <vt:lpwstr/>
      </vt:variant>
      <vt:variant>
        <vt:lpwstr>_Toc208995909</vt:lpwstr>
      </vt:variant>
      <vt:variant>
        <vt:i4>1769530</vt:i4>
      </vt:variant>
      <vt:variant>
        <vt:i4>116</vt:i4>
      </vt:variant>
      <vt:variant>
        <vt:i4>0</vt:i4>
      </vt:variant>
      <vt:variant>
        <vt:i4>5</vt:i4>
      </vt:variant>
      <vt:variant>
        <vt:lpwstr/>
      </vt:variant>
      <vt:variant>
        <vt:lpwstr>_Toc208995908</vt:lpwstr>
      </vt:variant>
      <vt:variant>
        <vt:i4>1769530</vt:i4>
      </vt:variant>
      <vt:variant>
        <vt:i4>110</vt:i4>
      </vt:variant>
      <vt:variant>
        <vt:i4>0</vt:i4>
      </vt:variant>
      <vt:variant>
        <vt:i4>5</vt:i4>
      </vt:variant>
      <vt:variant>
        <vt:lpwstr/>
      </vt:variant>
      <vt:variant>
        <vt:lpwstr>_Toc208995907</vt:lpwstr>
      </vt:variant>
      <vt:variant>
        <vt:i4>1769530</vt:i4>
      </vt:variant>
      <vt:variant>
        <vt:i4>104</vt:i4>
      </vt:variant>
      <vt:variant>
        <vt:i4>0</vt:i4>
      </vt:variant>
      <vt:variant>
        <vt:i4>5</vt:i4>
      </vt:variant>
      <vt:variant>
        <vt:lpwstr/>
      </vt:variant>
      <vt:variant>
        <vt:lpwstr>_Toc208995906</vt:lpwstr>
      </vt:variant>
      <vt:variant>
        <vt:i4>1769530</vt:i4>
      </vt:variant>
      <vt:variant>
        <vt:i4>98</vt:i4>
      </vt:variant>
      <vt:variant>
        <vt:i4>0</vt:i4>
      </vt:variant>
      <vt:variant>
        <vt:i4>5</vt:i4>
      </vt:variant>
      <vt:variant>
        <vt:lpwstr/>
      </vt:variant>
      <vt:variant>
        <vt:lpwstr>_Toc208995905</vt:lpwstr>
      </vt:variant>
      <vt:variant>
        <vt:i4>1769530</vt:i4>
      </vt:variant>
      <vt:variant>
        <vt:i4>92</vt:i4>
      </vt:variant>
      <vt:variant>
        <vt:i4>0</vt:i4>
      </vt:variant>
      <vt:variant>
        <vt:i4>5</vt:i4>
      </vt:variant>
      <vt:variant>
        <vt:lpwstr/>
      </vt:variant>
      <vt:variant>
        <vt:lpwstr>_Toc208995904</vt:lpwstr>
      </vt:variant>
      <vt:variant>
        <vt:i4>1769530</vt:i4>
      </vt:variant>
      <vt:variant>
        <vt:i4>86</vt:i4>
      </vt:variant>
      <vt:variant>
        <vt:i4>0</vt:i4>
      </vt:variant>
      <vt:variant>
        <vt:i4>5</vt:i4>
      </vt:variant>
      <vt:variant>
        <vt:lpwstr/>
      </vt:variant>
      <vt:variant>
        <vt:lpwstr>_Toc208995903</vt:lpwstr>
      </vt:variant>
      <vt:variant>
        <vt:i4>1769530</vt:i4>
      </vt:variant>
      <vt:variant>
        <vt:i4>80</vt:i4>
      </vt:variant>
      <vt:variant>
        <vt:i4>0</vt:i4>
      </vt:variant>
      <vt:variant>
        <vt:i4>5</vt:i4>
      </vt:variant>
      <vt:variant>
        <vt:lpwstr/>
      </vt:variant>
      <vt:variant>
        <vt:lpwstr>_Toc208995902</vt:lpwstr>
      </vt:variant>
      <vt:variant>
        <vt:i4>1769530</vt:i4>
      </vt:variant>
      <vt:variant>
        <vt:i4>74</vt:i4>
      </vt:variant>
      <vt:variant>
        <vt:i4>0</vt:i4>
      </vt:variant>
      <vt:variant>
        <vt:i4>5</vt:i4>
      </vt:variant>
      <vt:variant>
        <vt:lpwstr/>
      </vt:variant>
      <vt:variant>
        <vt:lpwstr>_Toc208995901</vt:lpwstr>
      </vt:variant>
      <vt:variant>
        <vt:i4>1769530</vt:i4>
      </vt:variant>
      <vt:variant>
        <vt:i4>68</vt:i4>
      </vt:variant>
      <vt:variant>
        <vt:i4>0</vt:i4>
      </vt:variant>
      <vt:variant>
        <vt:i4>5</vt:i4>
      </vt:variant>
      <vt:variant>
        <vt:lpwstr/>
      </vt:variant>
      <vt:variant>
        <vt:lpwstr>_Toc208995900</vt:lpwstr>
      </vt:variant>
      <vt:variant>
        <vt:i4>1179707</vt:i4>
      </vt:variant>
      <vt:variant>
        <vt:i4>62</vt:i4>
      </vt:variant>
      <vt:variant>
        <vt:i4>0</vt:i4>
      </vt:variant>
      <vt:variant>
        <vt:i4>5</vt:i4>
      </vt:variant>
      <vt:variant>
        <vt:lpwstr/>
      </vt:variant>
      <vt:variant>
        <vt:lpwstr>_Toc208995899</vt:lpwstr>
      </vt:variant>
      <vt:variant>
        <vt:i4>1179707</vt:i4>
      </vt:variant>
      <vt:variant>
        <vt:i4>56</vt:i4>
      </vt:variant>
      <vt:variant>
        <vt:i4>0</vt:i4>
      </vt:variant>
      <vt:variant>
        <vt:i4>5</vt:i4>
      </vt:variant>
      <vt:variant>
        <vt:lpwstr/>
      </vt:variant>
      <vt:variant>
        <vt:lpwstr>_Toc208995898</vt:lpwstr>
      </vt:variant>
      <vt:variant>
        <vt:i4>1179707</vt:i4>
      </vt:variant>
      <vt:variant>
        <vt:i4>50</vt:i4>
      </vt:variant>
      <vt:variant>
        <vt:i4>0</vt:i4>
      </vt:variant>
      <vt:variant>
        <vt:i4>5</vt:i4>
      </vt:variant>
      <vt:variant>
        <vt:lpwstr/>
      </vt:variant>
      <vt:variant>
        <vt:lpwstr>_Toc208995897</vt:lpwstr>
      </vt:variant>
      <vt:variant>
        <vt:i4>1179707</vt:i4>
      </vt:variant>
      <vt:variant>
        <vt:i4>44</vt:i4>
      </vt:variant>
      <vt:variant>
        <vt:i4>0</vt:i4>
      </vt:variant>
      <vt:variant>
        <vt:i4>5</vt:i4>
      </vt:variant>
      <vt:variant>
        <vt:lpwstr/>
      </vt:variant>
      <vt:variant>
        <vt:lpwstr>_Toc208995896</vt:lpwstr>
      </vt:variant>
      <vt:variant>
        <vt:i4>1179707</vt:i4>
      </vt:variant>
      <vt:variant>
        <vt:i4>38</vt:i4>
      </vt:variant>
      <vt:variant>
        <vt:i4>0</vt:i4>
      </vt:variant>
      <vt:variant>
        <vt:i4>5</vt:i4>
      </vt:variant>
      <vt:variant>
        <vt:lpwstr/>
      </vt:variant>
      <vt:variant>
        <vt:lpwstr>_Toc208995895</vt:lpwstr>
      </vt:variant>
      <vt:variant>
        <vt:i4>1179707</vt:i4>
      </vt:variant>
      <vt:variant>
        <vt:i4>32</vt:i4>
      </vt:variant>
      <vt:variant>
        <vt:i4>0</vt:i4>
      </vt:variant>
      <vt:variant>
        <vt:i4>5</vt:i4>
      </vt:variant>
      <vt:variant>
        <vt:lpwstr/>
      </vt:variant>
      <vt:variant>
        <vt:lpwstr>_Toc208995894</vt:lpwstr>
      </vt:variant>
      <vt:variant>
        <vt:i4>1179707</vt:i4>
      </vt:variant>
      <vt:variant>
        <vt:i4>26</vt:i4>
      </vt:variant>
      <vt:variant>
        <vt:i4>0</vt:i4>
      </vt:variant>
      <vt:variant>
        <vt:i4>5</vt:i4>
      </vt:variant>
      <vt:variant>
        <vt:lpwstr/>
      </vt:variant>
      <vt:variant>
        <vt:lpwstr>_Toc208995893</vt:lpwstr>
      </vt:variant>
      <vt:variant>
        <vt:i4>1179707</vt:i4>
      </vt:variant>
      <vt:variant>
        <vt:i4>20</vt:i4>
      </vt:variant>
      <vt:variant>
        <vt:i4>0</vt:i4>
      </vt:variant>
      <vt:variant>
        <vt:i4>5</vt:i4>
      </vt:variant>
      <vt:variant>
        <vt:lpwstr/>
      </vt:variant>
      <vt:variant>
        <vt:lpwstr>_Toc208995892</vt:lpwstr>
      </vt:variant>
      <vt:variant>
        <vt:i4>1179707</vt:i4>
      </vt:variant>
      <vt:variant>
        <vt:i4>14</vt:i4>
      </vt:variant>
      <vt:variant>
        <vt:i4>0</vt:i4>
      </vt:variant>
      <vt:variant>
        <vt:i4>5</vt:i4>
      </vt:variant>
      <vt:variant>
        <vt:lpwstr/>
      </vt:variant>
      <vt:variant>
        <vt:lpwstr>_Toc208995891</vt:lpwstr>
      </vt:variant>
      <vt:variant>
        <vt:i4>1179707</vt:i4>
      </vt:variant>
      <vt:variant>
        <vt:i4>8</vt:i4>
      </vt:variant>
      <vt:variant>
        <vt:i4>0</vt:i4>
      </vt:variant>
      <vt:variant>
        <vt:i4>5</vt:i4>
      </vt:variant>
      <vt:variant>
        <vt:lpwstr/>
      </vt:variant>
      <vt:variant>
        <vt:lpwstr>_Toc208995890</vt:lpwstr>
      </vt:variant>
      <vt:variant>
        <vt:i4>1245243</vt:i4>
      </vt:variant>
      <vt:variant>
        <vt:i4>2</vt:i4>
      </vt:variant>
      <vt:variant>
        <vt:i4>0</vt:i4>
      </vt:variant>
      <vt:variant>
        <vt:i4>5</vt:i4>
      </vt:variant>
      <vt:variant>
        <vt:lpwstr/>
      </vt:variant>
      <vt:variant>
        <vt:lpwstr>_Toc208995889</vt:lpwstr>
      </vt:variant>
      <vt:variant>
        <vt:i4>24510780</vt:i4>
      </vt:variant>
      <vt:variant>
        <vt:i4>0</vt:i4>
      </vt:variant>
      <vt:variant>
        <vt:i4>0</vt:i4>
      </vt:variant>
      <vt:variant>
        <vt:i4>5</vt:i4>
      </vt:variant>
      <vt:variant>
        <vt:lpwstr>https://www.tekāhuikāhu.govt.nz/assets/accreditation-approval/social-sector-accreditation-standards/level-3-social-sector-accreditation-standards.pdf</vt:lpwstr>
      </vt:variant>
      <vt:variant>
        <vt:lpwstr/>
      </vt:variant>
      <vt:variant>
        <vt:i4>7733321</vt:i4>
      </vt:variant>
      <vt:variant>
        <vt:i4>12</vt:i4>
      </vt:variant>
      <vt:variant>
        <vt:i4>0</vt:i4>
      </vt:variant>
      <vt:variant>
        <vt:i4>5</vt:i4>
      </vt:variant>
      <vt:variant>
        <vt:lpwstr>mailto:Falyn.Cranston@hud.govt.nz</vt:lpwstr>
      </vt:variant>
      <vt:variant>
        <vt:lpwstr/>
      </vt:variant>
      <vt:variant>
        <vt:i4>7733321</vt:i4>
      </vt:variant>
      <vt:variant>
        <vt:i4>9</vt:i4>
      </vt:variant>
      <vt:variant>
        <vt:i4>0</vt:i4>
      </vt:variant>
      <vt:variant>
        <vt:i4>5</vt:i4>
      </vt:variant>
      <vt:variant>
        <vt:lpwstr>mailto:Falyn.Cranston@hud.govt.nz</vt:lpwstr>
      </vt:variant>
      <vt:variant>
        <vt:lpwstr/>
      </vt:variant>
      <vt:variant>
        <vt:i4>786468</vt:i4>
      </vt:variant>
      <vt:variant>
        <vt:i4>6</vt:i4>
      </vt:variant>
      <vt:variant>
        <vt:i4>0</vt:i4>
      </vt:variant>
      <vt:variant>
        <vt:i4>5</vt:i4>
      </vt:variant>
      <vt:variant>
        <vt:lpwstr>mailto:Simon.Webber@hud.govt.nz</vt:lpwstr>
      </vt:variant>
      <vt:variant>
        <vt:lpwstr/>
      </vt:variant>
      <vt:variant>
        <vt:i4>6750285</vt:i4>
      </vt:variant>
      <vt:variant>
        <vt:i4>3</vt:i4>
      </vt:variant>
      <vt:variant>
        <vt:i4>0</vt:i4>
      </vt:variant>
      <vt:variant>
        <vt:i4>5</vt:i4>
      </vt:variant>
      <vt:variant>
        <vt:lpwstr>mailto:Kevin.Anderson@hud.govt.nz</vt:lpwstr>
      </vt:variant>
      <vt:variant>
        <vt:lpwstr/>
      </vt:variant>
      <vt:variant>
        <vt:i4>4784253</vt:i4>
      </vt:variant>
      <vt:variant>
        <vt:i4>0</vt:i4>
      </vt:variant>
      <vt:variant>
        <vt:i4>0</vt:i4>
      </vt:variant>
      <vt:variant>
        <vt:i4>5</vt:i4>
      </vt:variant>
      <vt:variant>
        <vt:lpwstr>mailto:Karen.Withers@hud.govt.nz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Falyn Cranston</dc:creator>
  <cp:keywords/>
  <dc:description/>
  <cp:lastModifiedBy>Falyn Cranston</cp:lastModifiedBy>
  <cp:revision>2</cp:revision>
  <dcterms:created xsi:type="dcterms:W3CDTF">2025-10-02T21:47:00Z</dcterms:created>
  <dcterms:modified xsi:type="dcterms:W3CDTF">2025-10-02T21:47:00Z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4afd8380,3ee17e28,5776a304</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ContentTypeId">
    <vt:lpwstr>0x010100993211552F232040B38D803CE96D4590</vt:lpwstr>
  </property>
  <property fmtid="{D5CDD505-2E9C-101B-9397-08002B2CF9AE}" pid="6" name="MediaServiceImageTags">
    <vt:lpwstr/>
  </property>
  <property fmtid="{D5CDD505-2E9C-101B-9397-08002B2CF9AE}" pid="7" name="_dlc_DocIdItemGuid">
    <vt:lpwstr>d7ceb7c5-e37d-4ef1-8cf9-94b8b57c5e27</vt:lpwstr>
  </property>
  <property fmtid="{D5CDD505-2E9C-101B-9397-08002B2CF9AE}" pid="8" name="docLang">
    <vt:lpwstr>en</vt:lpwstr>
  </property>
</Properties>
</file>